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10F3">
      <w:pPr>
        <w:snapToGrid w:val="0"/>
        <w:spacing w:before="60" w:after="60" w:line="560" w:lineRule="exact"/>
        <w:jc w:val="center"/>
        <w:rPr>
          <w:rFonts w:hint="eastAsia" w:ascii="黑体" w:hAnsi="黑体" w:eastAsia="黑体" w:cs="Times New Roman"/>
          <w:color w:val="333333"/>
          <w:sz w:val="44"/>
          <w:szCs w:val="44"/>
          <w:lang w:val="en-US" w:eastAsia="zh-CN"/>
        </w:rPr>
      </w:pPr>
      <w:r>
        <w:rPr>
          <w:rFonts w:hint="eastAsia" w:ascii="黑体" w:hAnsi="黑体" w:eastAsia="黑体" w:cs="Times New Roman"/>
          <w:color w:val="333333"/>
          <w:sz w:val="44"/>
          <w:szCs w:val="44"/>
          <w:lang w:val="en-US" w:eastAsia="zh-CN"/>
        </w:rPr>
        <w:t>数据集合规自评估报告</w:t>
      </w:r>
    </w:p>
    <w:p w14:paraId="20A9EC13">
      <w:pPr>
        <w:snapToGrid w:val="0"/>
        <w:spacing w:before="60" w:after="60" w:line="560" w:lineRule="exact"/>
        <w:jc w:val="both"/>
        <w:rPr>
          <w:rFonts w:hint="eastAsia"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重要提示：</w:t>
      </w:r>
    </w:p>
    <w:p w14:paraId="03FC0D95">
      <w:pPr>
        <w:snapToGrid w:val="0"/>
        <w:spacing w:before="60" w:after="60" w:line="560" w:lineRule="exact"/>
        <w:jc w:val="both"/>
        <w:rPr>
          <w:rFonts w:hint="eastAsia"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1.为了促进数据要素合规流通请针对主体及数据集内容进行本次自评估，评估内容将作为苏州高质量数据集评审依据之一；</w:t>
      </w:r>
    </w:p>
    <w:p w14:paraId="767FED9B">
      <w:pPr>
        <w:snapToGrid w:val="0"/>
        <w:spacing w:before="60" w:after="60" w:line="560" w:lineRule="exact"/>
        <w:jc w:val="both"/>
        <w:rPr>
          <w:rFonts w:hint="eastAsia"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2.本次自评估报告涉及问题与内容需如实填写，填写内容围绕本次提供的数据集展开，内容的真实性和完整性将直接关系到本次合规服务的有效性；</w:t>
      </w:r>
    </w:p>
    <w:p w14:paraId="15F0F995">
      <w:pPr>
        <w:snapToGrid w:val="0"/>
        <w:spacing w:before="60" w:after="60" w:line="560" w:lineRule="exact"/>
        <w:jc w:val="both"/>
        <w:rPr>
          <w:rFonts w:hint="eastAsia"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3.“自评估说明”一栏若需另附文档说明的则将文档附在本报告后，“提供材料”一栏应当写明提供材料的序号及名称，“证明文件指引”为示例文件，请根据情况增加补充；</w:t>
      </w:r>
    </w:p>
    <w:p w14:paraId="393C1210">
      <w:pPr>
        <w:snapToGrid w:val="0"/>
        <w:spacing w:before="60" w:after="60" w:line="560" w:lineRule="exact"/>
        <w:jc w:val="both"/>
        <w:rPr>
          <w:rFonts w:hint="eastAsia"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4.本自评估报告应由熟悉数据合规情况的相关人员填写，填写过程中如存在不清晰或有其他建议，请联系我局；</w:t>
      </w:r>
    </w:p>
    <w:p w14:paraId="482948E6">
      <w:pPr>
        <w:snapToGrid w:val="0"/>
        <w:spacing w:before="60" w:after="60" w:line="560" w:lineRule="exact"/>
        <w:jc w:val="both"/>
        <w:rPr>
          <w:rFonts w:hint="eastAsia"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5.评估所提交的佐证材料包括但不限于“证明文件指引”所提示的内容，各单位还可以根据各自情况予以补充；</w:t>
      </w:r>
    </w:p>
    <w:p w14:paraId="53FA00FC">
      <w:pPr>
        <w:snapToGrid w:val="0"/>
        <w:spacing w:before="60" w:after="60" w:line="560" w:lineRule="exact"/>
        <w:jc w:val="both"/>
        <w:rPr>
          <w:rFonts w:hint="eastAsia"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6.本自评估报告需填写完成后，与提交的佐证材料一并装订成册，编制目录并盖骑缝章。</w:t>
      </w:r>
    </w:p>
    <w:p w14:paraId="40060238">
      <w:pPr>
        <w:snapToGrid w:val="0"/>
        <w:spacing w:before="60" w:after="60" w:line="560" w:lineRule="exact"/>
        <w:jc w:val="both"/>
        <w:rPr>
          <w:rFonts w:hint="eastAsia" w:ascii="黑体" w:hAnsi="黑体" w:eastAsia="黑体" w:cs="Times New Roman"/>
          <w:color w:val="333333"/>
          <w:sz w:val="28"/>
          <w:szCs w:val="28"/>
          <w:lang w:val="en-US" w:eastAsia="zh-CN"/>
        </w:rPr>
      </w:pPr>
    </w:p>
    <w:p w14:paraId="71D76244">
      <w:pPr>
        <w:snapToGrid w:val="0"/>
        <w:spacing w:before="60" w:after="60" w:line="560" w:lineRule="exact"/>
        <w:jc w:val="both"/>
        <w:rPr>
          <w:rFonts w:hint="eastAsia" w:ascii="黑体" w:hAnsi="黑体" w:eastAsia="黑体" w:cs="Times New Roman"/>
          <w:color w:val="333333"/>
          <w:sz w:val="28"/>
          <w:szCs w:val="28"/>
          <w:lang w:val="en-US" w:eastAsia="zh-CN"/>
        </w:rPr>
      </w:pPr>
    </w:p>
    <w:p w14:paraId="0FA91654">
      <w:pPr>
        <w:snapToGrid w:val="0"/>
        <w:spacing w:before="60" w:after="60" w:line="560" w:lineRule="exact"/>
        <w:jc w:val="both"/>
        <w:rPr>
          <w:rFonts w:hint="eastAsia" w:ascii="黑体" w:hAnsi="黑体" w:eastAsia="黑体" w:cs="黑体"/>
          <w:color w:val="333333"/>
          <w:sz w:val="28"/>
          <w:szCs w:val="28"/>
          <w:lang w:val="en-US" w:eastAsia="zh-CN"/>
        </w:rPr>
      </w:pPr>
      <w:r>
        <w:rPr>
          <w:rFonts w:hint="eastAsia" w:ascii="黑体" w:hAnsi="黑体" w:eastAsia="黑体" w:cs="黑体"/>
          <w:color w:val="333333"/>
          <w:sz w:val="28"/>
          <w:szCs w:val="28"/>
          <w:lang w:val="en-US" w:eastAsia="zh-CN"/>
        </w:rPr>
        <w:t>数据集信息概况说明（请按照产品实际情况填写，填写内容应当与数据集说明书保持一致）</w:t>
      </w:r>
    </w:p>
    <w:p w14:paraId="02321FC7">
      <w:pPr>
        <w:snapToGrid w:val="0"/>
        <w:spacing w:before="60" w:after="60" w:line="560" w:lineRule="exact"/>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数据集名称：【            】</w:t>
      </w:r>
    </w:p>
    <w:p w14:paraId="79F16D03">
      <w:pPr>
        <w:snapToGrid w:val="0"/>
        <w:spacing w:before="60" w:after="60" w:line="560" w:lineRule="exact"/>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数据集持有者：【            】</w:t>
      </w:r>
    </w:p>
    <w:p w14:paraId="4241CCB1">
      <w:pPr>
        <w:snapToGrid w:val="0"/>
        <w:spacing w:before="60" w:after="60" w:line="560" w:lineRule="exact"/>
        <w:jc w:val="both"/>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数据集介绍：【            】</w:t>
      </w:r>
    </w:p>
    <w:p w14:paraId="4B5B2146">
      <w:pPr>
        <w:snapToGrid w:val="0"/>
        <w:spacing w:before="60" w:after="60" w:line="560" w:lineRule="exact"/>
        <w:jc w:val="both"/>
        <w:rPr>
          <w:rFonts w:hint="default" w:ascii="黑体" w:hAnsi="黑体" w:eastAsia="黑体" w:cs="Times New Roman"/>
          <w:color w:val="333333"/>
          <w:sz w:val="28"/>
          <w:szCs w:val="28"/>
          <w:lang w:val="en-US" w:eastAsia="zh-CN"/>
        </w:rPr>
      </w:pPr>
    </w:p>
    <w:tbl>
      <w:tblPr>
        <w:tblStyle w:val="6"/>
        <w:tblW w:w="14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4161"/>
        <w:gridCol w:w="3288"/>
        <w:gridCol w:w="2018"/>
        <w:gridCol w:w="2190"/>
        <w:gridCol w:w="1363"/>
      </w:tblGrid>
      <w:tr w14:paraId="17A4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9" w:type="dxa"/>
            <w:shd w:val="clear" w:color="auto" w:fill="A4A4A4" w:themeFill="background1" w:themeFillShade="A5"/>
          </w:tcPr>
          <w:p w14:paraId="374B2CF9">
            <w:pPr>
              <w:numPr>
                <w:ilvl w:val="-1"/>
                <w:numId w:val="0"/>
              </w:numPr>
              <w:snapToGrid w:val="0"/>
              <w:spacing w:before="60" w:after="60" w:line="560" w:lineRule="exact"/>
              <w:jc w:val="center"/>
              <w:rPr>
                <w:rFonts w:hint="eastAsia" w:ascii="仿宋" w:hAnsi="仿宋" w:eastAsia="仿宋" w:cs="仿宋"/>
                <w:b/>
                <w:bCs/>
                <w:color w:val="333333"/>
                <w:sz w:val="28"/>
                <w:szCs w:val="28"/>
                <w:highlight w:val="none"/>
                <w:vertAlign w:val="baseline"/>
                <w:lang w:val="en-US" w:eastAsia="zh-CN"/>
              </w:rPr>
            </w:pPr>
            <w:r>
              <w:rPr>
                <w:rFonts w:hint="eastAsia" w:ascii="仿宋" w:hAnsi="仿宋" w:eastAsia="仿宋" w:cs="仿宋"/>
                <w:b/>
                <w:bCs/>
                <w:color w:val="333333"/>
                <w:sz w:val="28"/>
                <w:szCs w:val="28"/>
                <w:highlight w:val="none"/>
                <w:vertAlign w:val="baseline"/>
                <w:lang w:val="en-US" w:eastAsia="zh-CN"/>
              </w:rPr>
              <w:t>评估事项</w:t>
            </w:r>
          </w:p>
        </w:tc>
        <w:tc>
          <w:tcPr>
            <w:tcW w:w="4161" w:type="dxa"/>
            <w:shd w:val="clear" w:color="auto" w:fill="A4A4A4" w:themeFill="background1" w:themeFillShade="A5"/>
          </w:tcPr>
          <w:p w14:paraId="4EC50328">
            <w:pPr>
              <w:numPr>
                <w:ilvl w:val="-1"/>
                <w:numId w:val="0"/>
              </w:numPr>
              <w:snapToGrid w:val="0"/>
              <w:spacing w:before="60" w:after="60" w:line="560" w:lineRule="exact"/>
              <w:jc w:val="center"/>
              <w:rPr>
                <w:rFonts w:hint="eastAsia" w:ascii="仿宋" w:hAnsi="仿宋" w:eastAsia="仿宋" w:cs="仿宋"/>
                <w:b/>
                <w:bCs/>
                <w:color w:val="333333"/>
                <w:sz w:val="28"/>
                <w:szCs w:val="28"/>
                <w:highlight w:val="none"/>
                <w:vertAlign w:val="baseline"/>
                <w:lang w:val="en-US" w:eastAsia="zh-CN"/>
              </w:rPr>
            </w:pPr>
            <w:r>
              <w:rPr>
                <w:rFonts w:hint="eastAsia" w:ascii="仿宋" w:hAnsi="仿宋" w:eastAsia="仿宋" w:cs="仿宋"/>
                <w:b/>
                <w:bCs/>
                <w:color w:val="333333"/>
                <w:sz w:val="28"/>
                <w:szCs w:val="28"/>
                <w:highlight w:val="none"/>
                <w:vertAlign w:val="baseline"/>
                <w:lang w:val="en-US" w:eastAsia="zh-CN"/>
              </w:rPr>
              <w:t>评估内容</w:t>
            </w:r>
          </w:p>
        </w:tc>
        <w:tc>
          <w:tcPr>
            <w:tcW w:w="3288" w:type="dxa"/>
            <w:shd w:val="clear" w:color="auto" w:fill="A4A4A4" w:themeFill="background1" w:themeFillShade="A5"/>
          </w:tcPr>
          <w:p w14:paraId="54BB9243">
            <w:pPr>
              <w:numPr>
                <w:ilvl w:val="-1"/>
                <w:numId w:val="0"/>
              </w:numPr>
              <w:snapToGrid w:val="0"/>
              <w:spacing w:before="60" w:after="60" w:line="560" w:lineRule="exact"/>
              <w:jc w:val="center"/>
              <w:rPr>
                <w:rFonts w:hint="default" w:ascii="仿宋" w:hAnsi="仿宋" w:eastAsia="仿宋" w:cs="仿宋"/>
                <w:b/>
                <w:bCs/>
                <w:color w:val="333333"/>
                <w:sz w:val="28"/>
                <w:szCs w:val="28"/>
                <w:highlight w:val="none"/>
                <w:vertAlign w:val="baseline"/>
                <w:lang w:val="en-US" w:eastAsia="zh-CN"/>
              </w:rPr>
            </w:pPr>
            <w:r>
              <w:rPr>
                <w:rFonts w:hint="eastAsia" w:ascii="仿宋" w:hAnsi="仿宋" w:eastAsia="仿宋" w:cs="仿宋"/>
                <w:b/>
                <w:bCs/>
                <w:color w:val="333333"/>
                <w:sz w:val="28"/>
                <w:szCs w:val="28"/>
                <w:highlight w:val="none"/>
                <w:vertAlign w:val="baseline"/>
                <w:lang w:val="en-US" w:eastAsia="zh-CN"/>
              </w:rPr>
              <w:t>自评估说明</w:t>
            </w:r>
          </w:p>
        </w:tc>
        <w:tc>
          <w:tcPr>
            <w:tcW w:w="2018" w:type="dxa"/>
            <w:shd w:val="clear" w:color="auto" w:fill="A4A4A4" w:themeFill="background1" w:themeFillShade="A5"/>
          </w:tcPr>
          <w:p w14:paraId="16893A8E">
            <w:pPr>
              <w:numPr>
                <w:ilvl w:val="-1"/>
                <w:numId w:val="0"/>
              </w:numPr>
              <w:snapToGrid w:val="0"/>
              <w:spacing w:before="60" w:after="60" w:line="560" w:lineRule="exact"/>
              <w:jc w:val="center"/>
              <w:rPr>
                <w:rFonts w:hint="eastAsia" w:ascii="仿宋" w:hAnsi="仿宋" w:eastAsia="仿宋" w:cs="仿宋"/>
                <w:b/>
                <w:bCs/>
                <w:color w:val="333333"/>
                <w:sz w:val="28"/>
                <w:szCs w:val="28"/>
                <w:highlight w:val="none"/>
                <w:vertAlign w:val="baseline"/>
                <w:lang w:val="en-US" w:eastAsia="zh-CN"/>
              </w:rPr>
            </w:pPr>
            <w:r>
              <w:rPr>
                <w:rFonts w:hint="eastAsia" w:ascii="仿宋" w:hAnsi="仿宋" w:eastAsia="仿宋" w:cs="仿宋"/>
                <w:b/>
                <w:bCs/>
                <w:color w:val="333333"/>
                <w:sz w:val="28"/>
                <w:szCs w:val="28"/>
                <w:highlight w:val="none"/>
                <w:vertAlign w:val="baseline"/>
                <w:lang w:val="en-US" w:eastAsia="zh-CN"/>
              </w:rPr>
              <w:t>证明文件指引</w:t>
            </w:r>
          </w:p>
        </w:tc>
        <w:tc>
          <w:tcPr>
            <w:tcW w:w="2190" w:type="dxa"/>
            <w:shd w:val="clear" w:color="auto" w:fill="A4A4A4" w:themeFill="background1" w:themeFillShade="A5"/>
          </w:tcPr>
          <w:p w14:paraId="2464E218">
            <w:pPr>
              <w:numPr>
                <w:ilvl w:val="-1"/>
                <w:numId w:val="0"/>
              </w:numPr>
              <w:snapToGrid w:val="0"/>
              <w:spacing w:before="60" w:after="60" w:line="560" w:lineRule="exact"/>
              <w:jc w:val="center"/>
              <w:rPr>
                <w:rFonts w:hint="eastAsia" w:ascii="仿宋" w:hAnsi="仿宋" w:eastAsia="仿宋" w:cs="仿宋"/>
                <w:b/>
                <w:bCs/>
                <w:color w:val="333333"/>
                <w:sz w:val="28"/>
                <w:szCs w:val="28"/>
                <w:highlight w:val="none"/>
                <w:vertAlign w:val="baseline"/>
                <w:lang w:val="en-US" w:eastAsia="zh-CN"/>
              </w:rPr>
            </w:pPr>
            <w:r>
              <w:rPr>
                <w:rFonts w:hint="eastAsia" w:ascii="仿宋" w:hAnsi="仿宋" w:eastAsia="仿宋" w:cs="仿宋"/>
                <w:b/>
                <w:bCs/>
                <w:color w:val="333333"/>
                <w:sz w:val="28"/>
                <w:szCs w:val="28"/>
                <w:highlight w:val="none"/>
                <w:vertAlign w:val="baseline"/>
                <w:lang w:val="en-US" w:eastAsia="zh-CN"/>
              </w:rPr>
              <w:t>提供材料</w:t>
            </w:r>
          </w:p>
        </w:tc>
        <w:tc>
          <w:tcPr>
            <w:tcW w:w="1363" w:type="dxa"/>
            <w:shd w:val="clear" w:color="auto" w:fill="A4A4A4" w:themeFill="background1" w:themeFillShade="A5"/>
          </w:tcPr>
          <w:p w14:paraId="16FDA6CE">
            <w:pPr>
              <w:numPr>
                <w:ilvl w:val="-1"/>
                <w:numId w:val="0"/>
              </w:numPr>
              <w:snapToGrid w:val="0"/>
              <w:spacing w:before="60" w:after="60" w:line="560" w:lineRule="exact"/>
              <w:jc w:val="center"/>
              <w:rPr>
                <w:rFonts w:hint="eastAsia" w:ascii="仿宋" w:hAnsi="仿宋" w:eastAsia="仿宋" w:cs="仿宋"/>
                <w:b/>
                <w:bCs/>
                <w:color w:val="333333"/>
                <w:sz w:val="28"/>
                <w:szCs w:val="28"/>
                <w:highlight w:val="none"/>
                <w:vertAlign w:val="baseline"/>
                <w:lang w:val="en-US" w:eastAsia="zh-CN"/>
              </w:rPr>
            </w:pPr>
            <w:r>
              <w:rPr>
                <w:rFonts w:hint="eastAsia" w:ascii="仿宋" w:hAnsi="仿宋" w:eastAsia="仿宋" w:cs="仿宋"/>
                <w:b/>
                <w:bCs/>
                <w:color w:val="333333"/>
                <w:sz w:val="28"/>
                <w:szCs w:val="28"/>
                <w:highlight w:val="none"/>
                <w:vertAlign w:val="baseline"/>
                <w:lang w:val="en-US" w:eastAsia="zh-CN"/>
              </w:rPr>
              <w:t>备注</w:t>
            </w:r>
          </w:p>
        </w:tc>
      </w:tr>
      <w:tr w14:paraId="29FF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9" w:type="dxa"/>
            <w:gridSpan w:val="6"/>
            <w:shd w:val="clear" w:color="auto" w:fill="E7E6E6" w:themeFill="background2"/>
          </w:tcPr>
          <w:p w14:paraId="675852CB">
            <w:pPr>
              <w:numPr>
                <w:ilvl w:val="-1"/>
                <w:numId w:val="0"/>
              </w:numPr>
              <w:snapToGrid w:val="0"/>
              <w:spacing w:before="60" w:after="60" w:line="560" w:lineRule="exact"/>
              <w:jc w:val="center"/>
              <w:rPr>
                <w:rFonts w:hint="eastAsia" w:ascii="仿宋" w:hAnsi="仿宋" w:eastAsia="仿宋" w:cs="仿宋"/>
                <w:b/>
                <w:bCs/>
                <w:color w:val="333333"/>
                <w:sz w:val="22"/>
                <w:szCs w:val="22"/>
                <w:highlight w:val="lightGray"/>
                <w:vertAlign w:val="baseline"/>
                <w:lang w:val="en-US" w:eastAsia="zh-CN"/>
              </w:rPr>
            </w:pPr>
            <w:r>
              <w:rPr>
                <w:rFonts w:hint="eastAsia" w:ascii="黑体" w:hAnsi="黑体" w:eastAsia="黑体" w:cs="黑体"/>
                <w:color w:val="333333"/>
                <w:sz w:val="28"/>
                <w:szCs w:val="28"/>
                <w:vertAlign w:val="baseline"/>
                <w:lang w:val="en-US" w:eastAsia="zh-CN"/>
              </w:rPr>
              <w:t>数据集持有机构主体信息</w:t>
            </w:r>
          </w:p>
        </w:tc>
      </w:tr>
      <w:tr w14:paraId="7775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489" w:type="dxa"/>
            <w:vMerge w:val="restart"/>
            <w:vAlign w:val="center"/>
          </w:tcPr>
          <w:p w14:paraId="1928AC88">
            <w:pPr>
              <w:numPr>
                <w:ilvl w:val="-1"/>
                <w:numId w:val="0"/>
              </w:numPr>
              <w:snapToGrid w:val="0"/>
              <w:spacing w:before="60" w:after="60" w:line="560" w:lineRule="exact"/>
              <w:jc w:val="center"/>
              <w:rPr>
                <w:rFonts w:hint="eastAsia" w:ascii="仿宋" w:hAnsi="仿宋" w:eastAsia="仿宋" w:cs="仿宋"/>
                <w:color w:val="333333"/>
                <w:sz w:val="22"/>
                <w:szCs w:val="22"/>
                <w:vertAlign w:val="baseline"/>
                <w:lang w:val="en-US" w:eastAsia="zh-CN"/>
              </w:rPr>
            </w:pPr>
          </w:p>
          <w:p w14:paraId="0D653E15">
            <w:pPr>
              <w:numPr>
                <w:ilvl w:val="-1"/>
                <w:numId w:val="0"/>
              </w:numPr>
              <w:snapToGrid w:val="0"/>
              <w:spacing w:before="60" w:after="60" w:line="560" w:lineRule="exact"/>
              <w:jc w:val="center"/>
              <w:rPr>
                <w:rFonts w:hint="eastAsia" w:ascii="仿宋" w:hAnsi="仿宋" w:eastAsia="仿宋" w:cs="仿宋"/>
                <w:color w:val="333333"/>
                <w:sz w:val="22"/>
                <w:szCs w:val="22"/>
                <w:vertAlign w:val="baseline"/>
                <w:lang w:val="en-US" w:eastAsia="zh-CN"/>
              </w:rPr>
            </w:pPr>
          </w:p>
          <w:p w14:paraId="3C6E7390">
            <w:pPr>
              <w:numPr>
                <w:ilvl w:val="-1"/>
                <w:numId w:val="0"/>
              </w:numPr>
              <w:snapToGrid w:val="0"/>
              <w:spacing w:before="60" w:after="60" w:line="560" w:lineRule="exact"/>
              <w:jc w:val="center"/>
              <w:rPr>
                <w:rFonts w:hint="eastAsia" w:ascii="仿宋" w:hAnsi="仿宋" w:eastAsia="仿宋" w:cs="仿宋"/>
                <w:color w:val="333333"/>
                <w:sz w:val="22"/>
                <w:szCs w:val="22"/>
                <w:vertAlign w:val="baseline"/>
                <w:lang w:val="en-US" w:eastAsia="zh-CN"/>
              </w:rPr>
            </w:pPr>
          </w:p>
          <w:p w14:paraId="0E78E4DB">
            <w:pPr>
              <w:numPr>
                <w:ilvl w:val="-1"/>
                <w:numId w:val="0"/>
              </w:numPr>
              <w:snapToGrid w:val="0"/>
              <w:spacing w:before="60" w:after="60" w:line="560" w:lineRule="exact"/>
              <w:jc w:val="center"/>
              <w:rPr>
                <w:rFonts w:hint="eastAsia" w:ascii="仿宋" w:hAnsi="仿宋" w:eastAsia="仿宋" w:cs="仿宋"/>
                <w:color w:val="333333"/>
                <w:sz w:val="22"/>
                <w:szCs w:val="22"/>
                <w:vertAlign w:val="baseline"/>
                <w:lang w:val="en-US" w:eastAsia="zh-CN"/>
              </w:rPr>
            </w:pPr>
          </w:p>
          <w:p w14:paraId="5E1C6EA8">
            <w:pPr>
              <w:numPr>
                <w:ilvl w:val="-1"/>
                <w:numId w:val="0"/>
              </w:numPr>
              <w:snapToGrid w:val="0"/>
              <w:spacing w:before="60" w:after="60" w:line="560" w:lineRule="exact"/>
              <w:jc w:val="center"/>
              <w:rPr>
                <w:rFonts w:hint="default"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合规经营能力</w:t>
            </w:r>
          </w:p>
        </w:tc>
        <w:tc>
          <w:tcPr>
            <w:tcW w:w="4161" w:type="dxa"/>
          </w:tcPr>
          <w:p w14:paraId="0324395D">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是否存在重大债偿风险、影响持续经营的担保、诉讼以及仲裁等重大或有事项</w:t>
            </w:r>
          </w:p>
        </w:tc>
        <w:tc>
          <w:tcPr>
            <w:tcW w:w="3288" w:type="dxa"/>
          </w:tcPr>
          <w:p w14:paraId="392C37D8">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018" w:type="dxa"/>
            <w:vMerge w:val="restart"/>
          </w:tcPr>
          <w:p w14:paraId="40ADEF87">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1.营业执照、单位法人证书、社会团体法人登记证书等</w:t>
            </w:r>
          </w:p>
          <w:p w14:paraId="5E1CEDCC">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2.信用中国企业信用报告</w:t>
            </w:r>
          </w:p>
          <w:p w14:paraId="383B63E0">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3. 数据集开发、经营业务需要的特殊资质、许可、认证、登记备案文件</w:t>
            </w:r>
          </w:p>
          <w:p w14:paraId="34353025">
            <w:pPr>
              <w:numPr>
                <w:ilvl w:val="-1"/>
                <w:numId w:val="0"/>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4.近一年内单位（企业）及董事、监事、法定代表人无重大数据类违法违规行为承诺。</w:t>
            </w:r>
          </w:p>
        </w:tc>
        <w:tc>
          <w:tcPr>
            <w:tcW w:w="2190" w:type="dxa"/>
            <w:vMerge w:val="restart"/>
          </w:tcPr>
          <w:p w14:paraId="3B721AD8">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1363" w:type="dxa"/>
          </w:tcPr>
          <w:p w14:paraId="70D6C40A">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r>
      <w:tr w14:paraId="2B3F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Merge w:val="continue"/>
          </w:tcPr>
          <w:p w14:paraId="38F522C7">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4161" w:type="dxa"/>
          </w:tcPr>
          <w:p w14:paraId="0F0F85AC">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近一年内是否存在重大数据类违法违规行为以及其他可能对数据交易活动构成实质性重大不利影响的情形</w:t>
            </w:r>
          </w:p>
        </w:tc>
        <w:tc>
          <w:tcPr>
            <w:tcW w:w="3288" w:type="dxa"/>
          </w:tcPr>
          <w:p w14:paraId="79232949">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018" w:type="dxa"/>
            <w:vMerge w:val="continue"/>
          </w:tcPr>
          <w:p w14:paraId="16CE0E7C">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190" w:type="dxa"/>
            <w:vMerge w:val="continue"/>
          </w:tcPr>
          <w:p w14:paraId="1043C2C3">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1363" w:type="dxa"/>
          </w:tcPr>
          <w:p w14:paraId="6431BBFE">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r>
      <w:tr w14:paraId="2310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Merge w:val="continue"/>
          </w:tcPr>
          <w:p w14:paraId="4FA3491F">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4161" w:type="dxa"/>
          </w:tcPr>
          <w:p w14:paraId="514386E5">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董事、监事、法定代表人是否存在重大数据类违法违规行为，是否属于失信被执行人，以及上述人员是否存在其他可能对数据交易活动构成实质性重大不利影响的情形</w:t>
            </w:r>
          </w:p>
        </w:tc>
        <w:tc>
          <w:tcPr>
            <w:tcW w:w="3288" w:type="dxa"/>
          </w:tcPr>
          <w:p w14:paraId="516FABF8">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018" w:type="dxa"/>
            <w:vMerge w:val="continue"/>
          </w:tcPr>
          <w:p w14:paraId="08013168">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190" w:type="dxa"/>
            <w:vMerge w:val="continue"/>
          </w:tcPr>
          <w:p w14:paraId="424CC1D3">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1363" w:type="dxa"/>
          </w:tcPr>
          <w:p w14:paraId="7893413C">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r>
      <w:tr w14:paraId="4843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Merge w:val="continue"/>
          </w:tcPr>
          <w:p w14:paraId="776CD71B">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4161" w:type="dxa"/>
          </w:tcPr>
          <w:p w14:paraId="33F2966E">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是否存在其他正在办理或尚待取得的与数据集经营业务相关的资质证书</w:t>
            </w:r>
          </w:p>
        </w:tc>
        <w:tc>
          <w:tcPr>
            <w:tcW w:w="3288" w:type="dxa"/>
          </w:tcPr>
          <w:p w14:paraId="0F71A4E2">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018" w:type="dxa"/>
            <w:vMerge w:val="continue"/>
          </w:tcPr>
          <w:p w14:paraId="5F2C2305">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190" w:type="dxa"/>
            <w:vMerge w:val="continue"/>
          </w:tcPr>
          <w:p w14:paraId="041D901C">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1363" w:type="dxa"/>
          </w:tcPr>
          <w:p w14:paraId="15A977F3">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r>
      <w:tr w14:paraId="1AE4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9" w:type="dxa"/>
            <w:gridSpan w:val="6"/>
            <w:shd w:val="clear" w:color="auto" w:fill="D7D7D7" w:themeFill="background1" w:themeFillShade="D8"/>
          </w:tcPr>
          <w:p w14:paraId="5FCEB7BD">
            <w:pPr>
              <w:numPr>
                <w:ilvl w:val="-1"/>
                <w:numId w:val="0"/>
              </w:numPr>
              <w:snapToGrid w:val="0"/>
              <w:spacing w:before="60" w:after="60" w:line="560" w:lineRule="exact"/>
              <w:jc w:val="center"/>
              <w:rPr>
                <w:rFonts w:hint="eastAsia" w:ascii="仿宋" w:hAnsi="仿宋" w:eastAsia="仿宋" w:cs="仿宋"/>
                <w:color w:val="333333"/>
                <w:sz w:val="22"/>
                <w:szCs w:val="22"/>
                <w:vertAlign w:val="baseline"/>
                <w:lang w:val="en-US" w:eastAsia="zh-CN"/>
              </w:rPr>
            </w:pPr>
            <w:r>
              <w:rPr>
                <w:rFonts w:hint="eastAsia" w:ascii="黑体" w:hAnsi="黑体" w:eastAsia="黑体" w:cs="黑体"/>
                <w:color w:val="333333"/>
                <w:sz w:val="28"/>
                <w:szCs w:val="28"/>
                <w:vertAlign w:val="baseline"/>
                <w:lang w:val="en-US" w:eastAsia="zh-CN"/>
              </w:rPr>
              <w:t>数据来源合法</w:t>
            </w:r>
          </w:p>
        </w:tc>
      </w:tr>
      <w:tr w14:paraId="3681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7F3E4A37">
            <w:pPr>
              <w:numPr>
                <w:ilvl w:val="-1"/>
                <w:numId w:val="0"/>
              </w:numPr>
              <w:snapToGrid w:val="0"/>
              <w:spacing w:before="60" w:after="60" w:line="560" w:lineRule="exact"/>
              <w:jc w:val="both"/>
              <w:rPr>
                <w:rFonts w:hint="eastAsia" w:ascii="黑体" w:hAnsi="黑体" w:eastAsia="黑体" w:cs="黑体"/>
                <w:color w:val="333333"/>
                <w:sz w:val="28"/>
                <w:szCs w:val="28"/>
                <w:vertAlign w:val="baseline"/>
                <w:lang w:val="en-US" w:eastAsia="zh-CN"/>
              </w:rPr>
            </w:pPr>
          </w:p>
          <w:p w14:paraId="72790D05">
            <w:pPr>
              <w:numPr>
                <w:ilvl w:val="0"/>
                <w:numId w:val="0"/>
              </w:numPr>
              <w:snapToGrid w:val="0"/>
              <w:spacing w:before="60" w:after="60" w:line="560" w:lineRule="exact"/>
              <w:jc w:val="both"/>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公开收集数据</w:t>
            </w:r>
          </w:p>
          <w:p w14:paraId="3152C7F6">
            <w:pPr>
              <w:numPr>
                <w:ilvl w:val="-1"/>
                <w:numId w:val="0"/>
              </w:numPr>
              <w:snapToGrid w:val="0"/>
              <w:spacing w:before="60" w:after="60" w:line="560" w:lineRule="exact"/>
              <w:jc w:val="both"/>
              <w:rPr>
                <w:rFonts w:hint="eastAsia" w:ascii="黑体" w:hAnsi="黑体" w:eastAsia="黑体" w:cs="黑体"/>
                <w:color w:val="333333"/>
                <w:sz w:val="28"/>
                <w:szCs w:val="28"/>
                <w:vertAlign w:val="baseline"/>
                <w:lang w:val="en-US" w:eastAsia="zh-CN"/>
              </w:rPr>
            </w:pPr>
          </w:p>
          <w:p w14:paraId="43BDB23E">
            <w:pPr>
              <w:numPr>
                <w:ilvl w:val="-1"/>
                <w:numId w:val="0"/>
              </w:numPr>
              <w:snapToGrid w:val="0"/>
              <w:spacing w:before="60" w:after="60" w:line="560" w:lineRule="exact"/>
              <w:jc w:val="both"/>
              <w:rPr>
                <w:rFonts w:hint="eastAsia" w:ascii="黑体" w:hAnsi="黑体" w:eastAsia="黑体" w:cs="黑体"/>
                <w:color w:val="333333"/>
                <w:sz w:val="28"/>
                <w:szCs w:val="28"/>
                <w:vertAlign w:val="baseline"/>
                <w:lang w:val="en-US" w:eastAsia="zh-CN"/>
              </w:rPr>
            </w:pPr>
          </w:p>
          <w:p w14:paraId="0DE8435E">
            <w:pPr>
              <w:numPr>
                <w:ilvl w:val="-1"/>
                <w:numId w:val="0"/>
              </w:numPr>
              <w:snapToGrid w:val="0"/>
              <w:spacing w:before="60" w:after="60" w:line="560" w:lineRule="exact"/>
              <w:jc w:val="both"/>
              <w:rPr>
                <w:rFonts w:hint="eastAsia" w:ascii="黑体" w:hAnsi="黑体" w:eastAsia="黑体" w:cs="黑体"/>
                <w:color w:val="333333"/>
                <w:sz w:val="28"/>
                <w:szCs w:val="28"/>
                <w:vertAlign w:val="baseline"/>
                <w:lang w:val="en-US" w:eastAsia="zh-CN"/>
              </w:rPr>
            </w:pPr>
          </w:p>
          <w:p w14:paraId="20850FCD">
            <w:pPr>
              <w:numPr>
                <w:ilvl w:val="-1"/>
                <w:numId w:val="0"/>
              </w:numPr>
              <w:snapToGrid w:val="0"/>
              <w:spacing w:before="60" w:after="60" w:line="560" w:lineRule="exact"/>
              <w:jc w:val="both"/>
              <w:rPr>
                <w:rFonts w:hint="eastAsia" w:ascii="黑体" w:hAnsi="黑体" w:eastAsia="黑体" w:cs="黑体"/>
                <w:color w:val="333333"/>
                <w:sz w:val="28"/>
                <w:szCs w:val="28"/>
                <w:vertAlign w:val="baseline"/>
                <w:lang w:val="en-US" w:eastAsia="zh-CN"/>
              </w:rPr>
            </w:pPr>
          </w:p>
          <w:p w14:paraId="0D2A822F">
            <w:pPr>
              <w:numPr>
                <w:ilvl w:val="-1"/>
                <w:numId w:val="0"/>
              </w:numPr>
              <w:snapToGrid w:val="0"/>
              <w:spacing w:before="60" w:after="60" w:line="560" w:lineRule="exact"/>
              <w:jc w:val="both"/>
              <w:rPr>
                <w:rFonts w:hint="default" w:ascii="仿宋" w:hAnsi="仿宋" w:eastAsia="仿宋" w:cs="仿宋"/>
                <w:color w:val="333333"/>
                <w:sz w:val="22"/>
                <w:szCs w:val="22"/>
                <w:vertAlign w:val="baseline"/>
                <w:lang w:val="en-US" w:eastAsia="zh-CN"/>
              </w:rPr>
            </w:pPr>
          </w:p>
        </w:tc>
        <w:tc>
          <w:tcPr>
            <w:tcW w:w="4161" w:type="dxa"/>
          </w:tcPr>
          <w:p w14:paraId="41C711DC">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是否通过自动化访问技术手段收集数据</w:t>
            </w:r>
          </w:p>
          <w:p w14:paraId="795373EF">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收集对象是否为公开的网站或可访问的计算机信息系统</w:t>
            </w:r>
          </w:p>
          <w:p w14:paraId="750742A7">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收集对象是否与自身经营业务存在实质性的竞争关系</w:t>
            </w:r>
          </w:p>
          <w:p w14:paraId="0838CE71">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收集的数据是否涉及个人信息</w:t>
            </w:r>
          </w:p>
          <w:p w14:paraId="6ECB05EB">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收集的数据是否涉及商业秘密或受反不正当竞争法保护的数据</w:t>
            </w:r>
          </w:p>
          <w:p w14:paraId="6319E090">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收集的数据是否涉及受著作权保护的作品</w:t>
            </w:r>
          </w:p>
          <w:p w14:paraId="1D6ECB1C">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收集的数据是否限制用于商业用途</w:t>
            </w:r>
          </w:p>
          <w:p w14:paraId="2B5B07E7">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是否存在利用破解网站加密规则、伪造身份认证信息、非法获取权限等技术手段突破或绕过网站设置的反爬技术</w:t>
            </w:r>
          </w:p>
          <w:p w14:paraId="3D0E9E4C">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是否干扰被收集网站正常运行</w:t>
            </w:r>
          </w:p>
          <w:p w14:paraId="6145EDEE">
            <w:pPr>
              <w:numPr>
                <w:ilvl w:val="0"/>
                <w:numId w:val="1"/>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设置合理的访问频率</w:t>
            </w:r>
          </w:p>
        </w:tc>
        <w:tc>
          <w:tcPr>
            <w:tcW w:w="3288" w:type="dxa"/>
          </w:tcPr>
          <w:p w14:paraId="5774239A">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018" w:type="dxa"/>
          </w:tcPr>
          <w:p w14:paraId="3C8A69F2">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相关风险评估报告或说明，包含以下内容：</w:t>
            </w:r>
          </w:p>
          <w:p w14:paraId="756A4475">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1. 被抓取对象主体名称、性质、网站地址清单</w:t>
            </w:r>
          </w:p>
          <w:p w14:paraId="7342FA7F">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2. 抓取内容的部分字段清单</w:t>
            </w:r>
          </w:p>
          <w:p w14:paraId="4C2B4764">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3. 抓取策略说明</w:t>
            </w:r>
          </w:p>
          <w:p w14:paraId="4FF579FD">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4. 访问频率说明</w:t>
            </w:r>
          </w:p>
          <w:p w14:paraId="6DC756FE">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5. 风险防范措施</w:t>
            </w:r>
          </w:p>
          <w:p w14:paraId="16C3A0E9">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6. 持续监控优化说明</w:t>
            </w:r>
          </w:p>
        </w:tc>
        <w:tc>
          <w:tcPr>
            <w:tcW w:w="2190" w:type="dxa"/>
          </w:tcPr>
          <w:p w14:paraId="591EA19C">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1363" w:type="dxa"/>
          </w:tcPr>
          <w:p w14:paraId="15A418FD">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r>
      <w:tr w14:paraId="5D0C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4EB6F4FD">
            <w:pPr>
              <w:numPr>
                <w:ilvl w:val="0"/>
                <w:numId w:val="0"/>
              </w:numPr>
              <w:snapToGrid w:val="0"/>
              <w:spacing w:before="60" w:after="60" w:line="560" w:lineRule="exact"/>
              <w:jc w:val="both"/>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自行生产数据</w:t>
            </w:r>
          </w:p>
          <w:p w14:paraId="7550A3C2">
            <w:pPr>
              <w:numPr>
                <w:ilvl w:val="-1"/>
                <w:numId w:val="0"/>
              </w:numPr>
              <w:snapToGrid w:val="0"/>
              <w:spacing w:before="60" w:after="60" w:line="560" w:lineRule="exact"/>
              <w:jc w:val="both"/>
              <w:rPr>
                <w:rFonts w:hint="eastAsia" w:ascii="仿宋" w:hAnsi="仿宋" w:eastAsia="仿宋" w:cs="仿宋"/>
                <w:color w:val="333333"/>
                <w:sz w:val="22"/>
                <w:szCs w:val="22"/>
                <w:vertAlign w:val="baseline"/>
                <w:lang w:val="en-US" w:eastAsia="zh-CN"/>
              </w:rPr>
            </w:pPr>
          </w:p>
        </w:tc>
        <w:tc>
          <w:tcPr>
            <w:tcW w:w="4161" w:type="dxa"/>
          </w:tcPr>
          <w:p w14:paraId="35B360F4">
            <w:pPr>
              <w:numPr>
                <w:ilvl w:val="0"/>
                <w:numId w:val="2"/>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数据收集行为是否具备独立性，涉及其他相关利益相关方时不存在侵权或权属不清的情形</w:t>
            </w:r>
          </w:p>
          <w:p w14:paraId="7AE347AA">
            <w:pPr>
              <w:numPr>
                <w:ilvl w:val="0"/>
                <w:numId w:val="2"/>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数据收集、处理所依赖的信息技术或系统是否存在侵犯第三方权益的情形</w:t>
            </w:r>
          </w:p>
        </w:tc>
        <w:tc>
          <w:tcPr>
            <w:tcW w:w="3288" w:type="dxa"/>
          </w:tcPr>
          <w:p w14:paraId="238F621C">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018" w:type="dxa"/>
          </w:tcPr>
          <w:p w14:paraId="3E982F60">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1.数据独立性，应用独立性的相关说明</w:t>
            </w:r>
          </w:p>
          <w:p w14:paraId="1CBA53F6">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2.特殊资质、许可、备案的相关证明</w:t>
            </w:r>
          </w:p>
        </w:tc>
        <w:tc>
          <w:tcPr>
            <w:tcW w:w="2190" w:type="dxa"/>
          </w:tcPr>
          <w:p w14:paraId="2573243F">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1363" w:type="dxa"/>
          </w:tcPr>
          <w:p w14:paraId="504A208D">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r>
      <w:tr w14:paraId="2F6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0CE3E557">
            <w:pPr>
              <w:numPr>
                <w:ilvl w:val="0"/>
                <w:numId w:val="0"/>
              </w:numPr>
              <w:snapToGrid w:val="0"/>
              <w:spacing w:before="60" w:after="60" w:line="560" w:lineRule="exact"/>
              <w:jc w:val="both"/>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协议获取数据</w:t>
            </w:r>
          </w:p>
          <w:p w14:paraId="4C44AE20">
            <w:pPr>
              <w:numPr>
                <w:ilvl w:val="-1"/>
                <w:numId w:val="0"/>
              </w:numPr>
              <w:snapToGrid w:val="0"/>
              <w:spacing w:before="60" w:after="60" w:line="560" w:lineRule="exact"/>
              <w:jc w:val="both"/>
              <w:rPr>
                <w:rFonts w:hint="eastAsia" w:ascii="仿宋" w:hAnsi="仿宋" w:eastAsia="仿宋" w:cs="仿宋"/>
                <w:color w:val="333333"/>
                <w:sz w:val="22"/>
                <w:szCs w:val="22"/>
                <w:vertAlign w:val="baseline"/>
                <w:lang w:val="en-US" w:eastAsia="zh-CN"/>
              </w:rPr>
            </w:pPr>
          </w:p>
        </w:tc>
        <w:tc>
          <w:tcPr>
            <w:tcW w:w="4161" w:type="dxa"/>
          </w:tcPr>
          <w:p w14:paraId="40706DE3">
            <w:pPr>
              <w:numPr>
                <w:ilvl w:val="0"/>
                <w:numId w:val="3"/>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是否要求数据提供方对于数据来源做合法性的承诺，并在相关协议中体现</w:t>
            </w:r>
          </w:p>
          <w:p w14:paraId="6636DE7C">
            <w:pPr>
              <w:numPr>
                <w:ilvl w:val="0"/>
                <w:numId w:val="3"/>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相关协议中是否明确数据使用目的、范围、安全保护要求，使用限制和知识产权归属等事项</w:t>
            </w:r>
          </w:p>
          <w:p w14:paraId="7CA21140">
            <w:pPr>
              <w:numPr>
                <w:ilvl w:val="0"/>
                <w:numId w:val="3"/>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相关协议中是否有对数据对外提供作出目的、期限、范围等限制要求</w:t>
            </w:r>
          </w:p>
          <w:p w14:paraId="025FE873">
            <w:pPr>
              <w:numPr>
                <w:ilvl w:val="0"/>
                <w:numId w:val="3"/>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核实协议相对方是否需要取得资质、许可、认证和备案方可对外提供数据</w:t>
            </w:r>
          </w:p>
        </w:tc>
        <w:tc>
          <w:tcPr>
            <w:tcW w:w="3288" w:type="dxa"/>
          </w:tcPr>
          <w:p w14:paraId="76C98169">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018" w:type="dxa"/>
          </w:tcPr>
          <w:p w14:paraId="781FA451">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1. 采购、合作协议</w:t>
            </w:r>
          </w:p>
          <w:p w14:paraId="789B3689">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2. 授权许可证明</w:t>
            </w:r>
          </w:p>
          <w:p w14:paraId="43AE2DAF">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3. 隐私政策</w:t>
            </w:r>
          </w:p>
          <w:p w14:paraId="6D6F8D7A">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4. 相关资质文件</w:t>
            </w:r>
          </w:p>
        </w:tc>
        <w:tc>
          <w:tcPr>
            <w:tcW w:w="2190" w:type="dxa"/>
          </w:tcPr>
          <w:p w14:paraId="33493ACC">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1363" w:type="dxa"/>
          </w:tcPr>
          <w:p w14:paraId="70A550EB">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r>
      <w:tr w14:paraId="261E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7C37EF2F">
            <w:pPr>
              <w:numPr>
                <w:ilvl w:val="0"/>
                <w:numId w:val="0"/>
              </w:numPr>
              <w:snapToGrid w:val="0"/>
              <w:spacing w:before="60" w:after="60" w:line="560" w:lineRule="exact"/>
              <w:jc w:val="both"/>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个人信息收集</w:t>
            </w:r>
          </w:p>
          <w:p w14:paraId="316E5CCD">
            <w:pPr>
              <w:numPr>
                <w:ilvl w:val="-1"/>
                <w:numId w:val="0"/>
              </w:numPr>
              <w:snapToGrid w:val="0"/>
              <w:spacing w:before="60" w:after="60" w:line="560" w:lineRule="exact"/>
              <w:jc w:val="both"/>
              <w:rPr>
                <w:rFonts w:hint="eastAsia" w:ascii="仿宋" w:hAnsi="仿宋" w:eastAsia="仿宋" w:cs="仿宋"/>
                <w:color w:val="333333"/>
                <w:sz w:val="22"/>
                <w:szCs w:val="22"/>
                <w:vertAlign w:val="baseline"/>
                <w:lang w:val="en-US" w:eastAsia="zh-CN"/>
              </w:rPr>
            </w:pPr>
          </w:p>
        </w:tc>
        <w:tc>
          <w:tcPr>
            <w:tcW w:w="4161" w:type="dxa"/>
          </w:tcPr>
          <w:p w14:paraId="5DF2F2D0">
            <w:pPr>
              <w:numPr>
                <w:ilvl w:val="0"/>
                <w:numId w:val="4"/>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是否建立个人信息保护制度体系</w:t>
            </w:r>
          </w:p>
          <w:p w14:paraId="0DEB8489">
            <w:pPr>
              <w:numPr>
                <w:ilvl w:val="0"/>
                <w:numId w:val="4"/>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涉及收集是否在事前开展个人信息保护影响评估，评估个人信息对外提供可能引起的风险</w:t>
            </w:r>
          </w:p>
          <w:p w14:paraId="363CD7D1">
            <w:pPr>
              <w:numPr>
                <w:ilvl w:val="0"/>
                <w:numId w:val="4"/>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是否通过隐私政策、授权协议向个人信息主体告知如下事项：</w:t>
            </w:r>
          </w:p>
          <w:p w14:paraId="6DFF217E">
            <w:pPr>
              <w:numPr>
                <w:ilvl w:val="0"/>
                <w:numId w:val="5"/>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处理个人信息的种类；</w:t>
            </w:r>
          </w:p>
          <w:p w14:paraId="6C85704A">
            <w:pPr>
              <w:numPr>
                <w:ilvl w:val="0"/>
                <w:numId w:val="5"/>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收集各类个人信息的具体情况以及停止收集的方式和途径；</w:t>
            </w:r>
          </w:p>
          <w:p w14:paraId="4E5FB330">
            <w:pPr>
              <w:numPr>
                <w:ilvl w:val="0"/>
                <w:numId w:val="5"/>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处理各类个人信息的目的、用途、方式；</w:t>
            </w:r>
          </w:p>
          <w:p w14:paraId="39EEEECB">
            <w:pPr>
              <w:numPr>
                <w:ilvl w:val="0"/>
                <w:numId w:val="5"/>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个人信息保存地点、保存期限；</w:t>
            </w:r>
          </w:p>
          <w:p w14:paraId="593FC875">
            <w:pPr>
              <w:numPr>
                <w:ilvl w:val="0"/>
                <w:numId w:val="5"/>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向个人告知接收方的名称或姓名、联系方式、处理目的、处理方式和个人信息的种类；</w:t>
            </w:r>
          </w:p>
          <w:p w14:paraId="4FDB65DB">
            <w:pPr>
              <w:numPr>
                <w:ilvl w:val="0"/>
                <w:numId w:val="5"/>
              </w:numPr>
              <w:snapToGrid w:val="0"/>
              <w:spacing w:before="60" w:after="60" w:line="560" w:lineRule="exact"/>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其他按照《个人信息保护法》应当告知的事项。</w:t>
            </w:r>
          </w:p>
          <w:p w14:paraId="11F362AF">
            <w:pPr>
              <w:numPr>
                <w:ilvl w:val="0"/>
                <w:numId w:val="4"/>
              </w:numPr>
              <w:snapToGrid w:val="0"/>
              <w:spacing w:before="60" w:after="60" w:line="560" w:lineRule="exact"/>
              <w:ind w:left="0" w:leftChars="0" w:firstLine="0" w:firstLineChars="0"/>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是否取得个人信息主体的同意或单独同意</w:t>
            </w:r>
          </w:p>
          <w:p w14:paraId="23555E61">
            <w:pPr>
              <w:numPr>
                <w:ilvl w:val="0"/>
                <w:numId w:val="4"/>
              </w:numPr>
              <w:snapToGrid w:val="0"/>
              <w:spacing w:before="60" w:after="60" w:line="560" w:lineRule="exact"/>
              <w:ind w:left="0" w:leftChars="0" w:firstLine="0" w:firstLineChars="0"/>
              <w:rPr>
                <w:rFonts w:hint="default" w:ascii="仿宋" w:hAnsi="仿宋" w:eastAsia="仿宋" w:cs="仿宋"/>
                <w:color w:val="333333"/>
                <w:sz w:val="22"/>
                <w:szCs w:val="22"/>
                <w:vertAlign w:val="baseline"/>
                <w:lang w:val="en-US" w:eastAsia="zh-CN"/>
              </w:rPr>
            </w:pPr>
            <w:r>
              <w:rPr>
                <w:rFonts w:hint="default" w:ascii="仿宋" w:hAnsi="仿宋" w:eastAsia="仿宋" w:cs="仿宋"/>
                <w:color w:val="333333"/>
                <w:sz w:val="22"/>
                <w:szCs w:val="22"/>
                <w:vertAlign w:val="baseline"/>
                <w:lang w:val="en-US" w:eastAsia="zh-CN"/>
              </w:rPr>
              <w:t>当个人信息主体撤回同意时，是否设置了停止处理或及时删除个人信息的机制</w:t>
            </w:r>
          </w:p>
        </w:tc>
        <w:tc>
          <w:tcPr>
            <w:tcW w:w="3288" w:type="dxa"/>
          </w:tcPr>
          <w:p w14:paraId="2A89E1AB">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2018" w:type="dxa"/>
          </w:tcPr>
          <w:p w14:paraId="6B5B7385">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1. 隐私政策、授权协议</w:t>
            </w:r>
          </w:p>
          <w:p w14:paraId="1F323369">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2. 用户单独同意的证明材料，如包含单独同意的页面截图、条款等</w:t>
            </w:r>
          </w:p>
          <w:p w14:paraId="646155C6">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3. 个人信息保护相关制度、流程及操作规范</w:t>
            </w:r>
          </w:p>
          <w:p w14:paraId="0A0E74B7">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r>
              <w:rPr>
                <w:rFonts w:hint="eastAsia" w:ascii="仿宋" w:hAnsi="仿宋" w:eastAsia="仿宋" w:cs="仿宋"/>
                <w:color w:val="333333"/>
                <w:sz w:val="22"/>
                <w:szCs w:val="22"/>
                <w:vertAlign w:val="baseline"/>
                <w:lang w:val="en-US" w:eastAsia="zh-CN"/>
              </w:rPr>
              <w:t>4. 个人信息保护影响评估报告</w:t>
            </w:r>
          </w:p>
        </w:tc>
        <w:tc>
          <w:tcPr>
            <w:tcW w:w="2190" w:type="dxa"/>
          </w:tcPr>
          <w:p w14:paraId="4B179686">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c>
          <w:tcPr>
            <w:tcW w:w="1363" w:type="dxa"/>
          </w:tcPr>
          <w:p w14:paraId="29EF3246">
            <w:pPr>
              <w:numPr>
                <w:ilvl w:val="-1"/>
                <w:numId w:val="0"/>
              </w:numPr>
              <w:snapToGrid w:val="0"/>
              <w:spacing w:before="60" w:after="60" w:line="560" w:lineRule="exact"/>
              <w:rPr>
                <w:rFonts w:hint="eastAsia" w:ascii="仿宋" w:hAnsi="仿宋" w:eastAsia="仿宋" w:cs="仿宋"/>
                <w:color w:val="333333"/>
                <w:sz w:val="22"/>
                <w:szCs w:val="22"/>
                <w:vertAlign w:val="baseline"/>
                <w:lang w:val="en-US" w:eastAsia="zh-CN"/>
              </w:rPr>
            </w:pPr>
          </w:p>
        </w:tc>
      </w:tr>
    </w:tbl>
    <w:p w14:paraId="1DECD623">
      <w:pPr>
        <w:numPr>
          <w:ilvl w:val="-1"/>
          <w:numId w:val="0"/>
        </w:numPr>
        <w:snapToGrid w:val="0"/>
        <w:spacing w:before="60" w:after="60" w:line="560" w:lineRule="exact"/>
        <w:rPr>
          <w:rFonts w:hint="eastAsia" w:ascii="黑体" w:hAnsi="黑体" w:eastAsia="黑体" w:cs="Times New Roman"/>
          <w:color w:val="333333"/>
          <w:sz w:val="28"/>
          <w:szCs w:val="28"/>
          <w:lang w:val="en-US" w:eastAsia="zh-CN"/>
        </w:rPr>
      </w:pPr>
    </w:p>
    <w:p w14:paraId="22C30F35">
      <w:pPr>
        <w:numPr>
          <w:ilvl w:val="-1"/>
          <w:numId w:val="0"/>
        </w:numPr>
        <w:snapToGrid w:val="0"/>
        <w:spacing w:before="60" w:after="60" w:line="560" w:lineRule="exact"/>
        <w:rPr>
          <w:rFonts w:hint="eastAsia" w:ascii="黑体" w:hAnsi="黑体" w:eastAsia="黑体" w:cs="Times New Roman"/>
          <w:color w:val="333333"/>
          <w:sz w:val="28"/>
          <w:szCs w:val="28"/>
          <w:lang w:val="en-US" w:eastAsia="zh-CN"/>
        </w:rPr>
      </w:pPr>
    </w:p>
    <w:p w14:paraId="2D529C2F">
      <w:pPr>
        <w:numPr>
          <w:ilvl w:val="-1"/>
          <w:numId w:val="0"/>
        </w:numPr>
        <w:snapToGrid w:val="0"/>
        <w:spacing w:before="60" w:after="60" w:line="560" w:lineRule="exact"/>
        <w:rPr>
          <w:rFonts w:hint="eastAsia" w:ascii="黑体" w:hAnsi="黑体" w:eastAsia="黑体" w:cs="Times New Roman"/>
          <w:color w:val="333333"/>
          <w:sz w:val="28"/>
          <w:szCs w:val="28"/>
          <w:lang w:val="en-US" w:eastAsia="zh-CN"/>
        </w:rPr>
      </w:pPr>
    </w:p>
    <w:p w14:paraId="11FE7A51">
      <w:pPr>
        <w:numPr>
          <w:ilvl w:val="-1"/>
          <w:numId w:val="0"/>
        </w:numPr>
        <w:snapToGrid w:val="0"/>
        <w:spacing w:before="60" w:after="60" w:line="560" w:lineRule="exact"/>
        <w:rPr>
          <w:rFonts w:hint="eastAsia" w:ascii="黑体" w:hAnsi="黑体" w:eastAsia="黑体" w:cs="Times New Roman"/>
          <w:color w:val="333333"/>
          <w:sz w:val="28"/>
          <w:szCs w:val="28"/>
          <w:lang w:val="en-US" w:eastAsia="zh-CN"/>
        </w:rPr>
      </w:pPr>
    </w:p>
    <w:p w14:paraId="16ADD8A3">
      <w:pPr>
        <w:numPr>
          <w:ilvl w:val="-1"/>
          <w:numId w:val="0"/>
        </w:numPr>
        <w:snapToGrid w:val="0"/>
        <w:spacing w:before="60" w:after="60" w:line="560" w:lineRule="exact"/>
        <w:rPr>
          <w:rFonts w:hint="eastAsia"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【数据集合规自评估结论及承诺】</w:t>
      </w:r>
    </w:p>
    <w:p w14:paraId="6D2FAEEB">
      <w:pPr>
        <w:numPr>
          <w:ilvl w:val="-1"/>
          <w:numId w:val="0"/>
        </w:numPr>
        <w:snapToGrid w:val="0"/>
        <w:spacing w:before="60" w:after="60" w:line="560" w:lineRule="exact"/>
        <w:ind w:firstLine="560" w:firstLineChars="200"/>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根据上述自评估内容说明，本单位依法成立、有效存续并合法经营，具有承担民事责任的能力；能够确保数据集的数据来源合法合规;遵守相关法律法规规定，积极履行数据安全保护义务，采取相应的数据安全保护技术措施，本单位对所提交材料的真实性负责，如有不实，自愿承担由此产生的法律后果。</w:t>
      </w:r>
    </w:p>
    <w:p w14:paraId="56402A20">
      <w:pPr>
        <w:numPr>
          <w:ilvl w:val="-1"/>
          <w:numId w:val="0"/>
        </w:numPr>
        <w:snapToGrid w:val="0"/>
        <w:spacing w:before="60" w:after="60" w:line="560" w:lineRule="exact"/>
        <w:rPr>
          <w:rFonts w:hint="eastAsia" w:ascii="黑体" w:hAnsi="黑体" w:eastAsia="黑体" w:cs="Times New Roman"/>
          <w:color w:val="333333"/>
          <w:sz w:val="28"/>
          <w:szCs w:val="28"/>
          <w:lang w:val="en-US" w:eastAsia="zh-CN"/>
        </w:rPr>
      </w:pPr>
    </w:p>
    <w:p w14:paraId="4FA6A4EA">
      <w:pPr>
        <w:numPr>
          <w:ilvl w:val="-1"/>
          <w:numId w:val="0"/>
        </w:numPr>
        <w:snapToGrid w:val="0"/>
        <w:spacing w:before="60" w:after="60" w:line="560" w:lineRule="exact"/>
        <w:rPr>
          <w:rFonts w:hint="default"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 xml:space="preserve">                                                                    自评估单位（盖章）：</w:t>
      </w:r>
    </w:p>
    <w:p w14:paraId="72363865">
      <w:pPr>
        <w:numPr>
          <w:ilvl w:val="-1"/>
          <w:numId w:val="0"/>
        </w:numPr>
        <w:snapToGrid w:val="0"/>
        <w:spacing w:before="60" w:after="60" w:line="560" w:lineRule="exact"/>
        <w:ind w:firstLine="9520" w:firstLineChars="3400"/>
        <w:rPr>
          <w:rFonts w:hint="default"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 xml:space="preserve">授权联系人（签字）：               </w:t>
      </w:r>
      <w:bookmarkStart w:id="0" w:name="_GoBack"/>
      <w:bookmarkEnd w:id="0"/>
    </w:p>
    <w:p w14:paraId="79B304BE">
      <w:pPr>
        <w:numPr>
          <w:ilvl w:val="-1"/>
          <w:numId w:val="0"/>
        </w:numPr>
        <w:snapToGrid w:val="0"/>
        <w:spacing w:before="60" w:after="60" w:line="560" w:lineRule="exact"/>
        <w:rPr>
          <w:rFonts w:hint="default" w:ascii="黑体" w:hAnsi="黑体" w:eastAsia="黑体" w:cs="Times New Roman"/>
          <w:color w:val="333333"/>
          <w:sz w:val="28"/>
          <w:szCs w:val="28"/>
          <w:lang w:val="en-US" w:eastAsia="zh-CN"/>
        </w:rPr>
      </w:pPr>
      <w:r>
        <w:rPr>
          <w:rFonts w:hint="eastAsia" w:ascii="黑体" w:hAnsi="黑体" w:eastAsia="黑体" w:cs="Times New Roman"/>
          <w:color w:val="333333"/>
          <w:sz w:val="28"/>
          <w:szCs w:val="28"/>
          <w:lang w:val="en-US" w:eastAsia="zh-CN"/>
        </w:rPr>
        <w:t xml:space="preserve">                                                                         年    月    日</w:t>
      </w: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79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F350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2F350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3011"/>
    <w:multiLevelType w:val="singleLevel"/>
    <w:tmpl w:val="833F3011"/>
    <w:lvl w:ilvl="0" w:tentative="0">
      <w:start w:val="1"/>
      <w:numFmt w:val="decimal"/>
      <w:lvlText w:val="%1."/>
      <w:lvlJc w:val="left"/>
      <w:pPr>
        <w:tabs>
          <w:tab w:val="left" w:pos="312"/>
        </w:tabs>
      </w:pPr>
    </w:lvl>
  </w:abstractNum>
  <w:abstractNum w:abstractNumId="1">
    <w:nsid w:val="8B24F234"/>
    <w:multiLevelType w:val="singleLevel"/>
    <w:tmpl w:val="8B24F234"/>
    <w:lvl w:ilvl="0" w:tentative="0">
      <w:start w:val="1"/>
      <w:numFmt w:val="decimal"/>
      <w:lvlText w:val="%1."/>
      <w:lvlJc w:val="left"/>
      <w:pPr>
        <w:tabs>
          <w:tab w:val="left" w:pos="312"/>
        </w:tabs>
      </w:pPr>
    </w:lvl>
  </w:abstractNum>
  <w:abstractNum w:abstractNumId="2">
    <w:nsid w:val="ACA75679"/>
    <w:multiLevelType w:val="singleLevel"/>
    <w:tmpl w:val="ACA75679"/>
    <w:lvl w:ilvl="0" w:tentative="0">
      <w:start w:val="1"/>
      <w:numFmt w:val="decimal"/>
      <w:lvlText w:val="%1."/>
      <w:lvlJc w:val="left"/>
      <w:pPr>
        <w:tabs>
          <w:tab w:val="left" w:pos="312"/>
        </w:tabs>
      </w:pPr>
    </w:lvl>
  </w:abstractNum>
  <w:abstractNum w:abstractNumId="3">
    <w:nsid w:val="C75F48B1"/>
    <w:multiLevelType w:val="singleLevel"/>
    <w:tmpl w:val="C75F48B1"/>
    <w:lvl w:ilvl="0" w:tentative="0">
      <w:start w:val="1"/>
      <w:numFmt w:val="decimal"/>
      <w:suff w:val="nothing"/>
      <w:lvlText w:val="（%1）"/>
      <w:lvlJc w:val="left"/>
    </w:lvl>
  </w:abstractNum>
  <w:abstractNum w:abstractNumId="4">
    <w:nsid w:val="67160A75"/>
    <w:multiLevelType w:val="singleLevel"/>
    <w:tmpl w:val="67160A75"/>
    <w:lvl w:ilvl="0" w:tentative="0">
      <w:start w:val="1"/>
      <w:numFmt w:val="decimal"/>
      <w:lvlText w:val="%1."/>
      <w:lvlJc w:val="left"/>
      <w:pPr>
        <w:tabs>
          <w:tab w:val="left" w:pos="312"/>
        </w:tabs>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A65FA9"/>
    <w:rsid w:val="00EE4D8E"/>
    <w:rsid w:val="00F418B4"/>
    <w:rsid w:val="010E7F54"/>
    <w:rsid w:val="01487061"/>
    <w:rsid w:val="01EE19B6"/>
    <w:rsid w:val="02934EC9"/>
    <w:rsid w:val="029D33DC"/>
    <w:rsid w:val="02CE7E50"/>
    <w:rsid w:val="03084CFA"/>
    <w:rsid w:val="031F3DF1"/>
    <w:rsid w:val="037759DB"/>
    <w:rsid w:val="03FB03BA"/>
    <w:rsid w:val="065A1D10"/>
    <w:rsid w:val="06B75848"/>
    <w:rsid w:val="06BD2A2B"/>
    <w:rsid w:val="06C74ECC"/>
    <w:rsid w:val="06D849E3"/>
    <w:rsid w:val="07846919"/>
    <w:rsid w:val="07BD6640"/>
    <w:rsid w:val="080F08D8"/>
    <w:rsid w:val="081B54CF"/>
    <w:rsid w:val="08AA23AF"/>
    <w:rsid w:val="08BF22FE"/>
    <w:rsid w:val="08F71A98"/>
    <w:rsid w:val="093F6F9B"/>
    <w:rsid w:val="09776735"/>
    <w:rsid w:val="097E5D15"/>
    <w:rsid w:val="09AB4631"/>
    <w:rsid w:val="0AA854F5"/>
    <w:rsid w:val="0AEA2F37"/>
    <w:rsid w:val="0B27418B"/>
    <w:rsid w:val="0BBF6171"/>
    <w:rsid w:val="0BFE6C9A"/>
    <w:rsid w:val="0D3B3F1D"/>
    <w:rsid w:val="0D71793F"/>
    <w:rsid w:val="0DBE0332"/>
    <w:rsid w:val="0DFC6CA2"/>
    <w:rsid w:val="0E320E7D"/>
    <w:rsid w:val="0EA578A0"/>
    <w:rsid w:val="0EFD148A"/>
    <w:rsid w:val="0FA61182"/>
    <w:rsid w:val="0FE95EB3"/>
    <w:rsid w:val="10354C54"/>
    <w:rsid w:val="104C344F"/>
    <w:rsid w:val="10D20663"/>
    <w:rsid w:val="111B4D7F"/>
    <w:rsid w:val="11FA7885"/>
    <w:rsid w:val="11FC1ECD"/>
    <w:rsid w:val="122431D2"/>
    <w:rsid w:val="124B075F"/>
    <w:rsid w:val="126B7053"/>
    <w:rsid w:val="127E34B8"/>
    <w:rsid w:val="12AF0CEE"/>
    <w:rsid w:val="12DC773D"/>
    <w:rsid w:val="130B7EEE"/>
    <w:rsid w:val="133833D9"/>
    <w:rsid w:val="1360648C"/>
    <w:rsid w:val="13F866C4"/>
    <w:rsid w:val="14131750"/>
    <w:rsid w:val="14157276"/>
    <w:rsid w:val="14643D5A"/>
    <w:rsid w:val="147F2942"/>
    <w:rsid w:val="148D505F"/>
    <w:rsid w:val="14D964F6"/>
    <w:rsid w:val="14E46C49"/>
    <w:rsid w:val="158D108E"/>
    <w:rsid w:val="15997A33"/>
    <w:rsid w:val="15D13671"/>
    <w:rsid w:val="15D171CD"/>
    <w:rsid w:val="15FF01DE"/>
    <w:rsid w:val="16AE5760"/>
    <w:rsid w:val="16D970EE"/>
    <w:rsid w:val="17AB1B1A"/>
    <w:rsid w:val="18AE1A47"/>
    <w:rsid w:val="18DA45EA"/>
    <w:rsid w:val="18EA0330"/>
    <w:rsid w:val="18F356AC"/>
    <w:rsid w:val="190873AA"/>
    <w:rsid w:val="1A361CF4"/>
    <w:rsid w:val="1B1F09DB"/>
    <w:rsid w:val="1B694C32"/>
    <w:rsid w:val="1B965141"/>
    <w:rsid w:val="1B9C7016"/>
    <w:rsid w:val="1BA161D5"/>
    <w:rsid w:val="1BC80358"/>
    <w:rsid w:val="1C146065"/>
    <w:rsid w:val="1C280617"/>
    <w:rsid w:val="1C7B60E4"/>
    <w:rsid w:val="1D365816"/>
    <w:rsid w:val="1DA17DCD"/>
    <w:rsid w:val="1DCA10D2"/>
    <w:rsid w:val="1E960FB4"/>
    <w:rsid w:val="1EE4767F"/>
    <w:rsid w:val="1F3802BD"/>
    <w:rsid w:val="1F4629DA"/>
    <w:rsid w:val="1FBE07C2"/>
    <w:rsid w:val="20542ED4"/>
    <w:rsid w:val="20AD0837"/>
    <w:rsid w:val="20AE6A88"/>
    <w:rsid w:val="214F312A"/>
    <w:rsid w:val="220B7F0B"/>
    <w:rsid w:val="221E7C3E"/>
    <w:rsid w:val="226F3FF6"/>
    <w:rsid w:val="23337719"/>
    <w:rsid w:val="23941E93"/>
    <w:rsid w:val="23983A20"/>
    <w:rsid w:val="23B048C6"/>
    <w:rsid w:val="242D4168"/>
    <w:rsid w:val="247F392A"/>
    <w:rsid w:val="249E0BC2"/>
    <w:rsid w:val="24A563F4"/>
    <w:rsid w:val="24C22B02"/>
    <w:rsid w:val="25535E50"/>
    <w:rsid w:val="257858B7"/>
    <w:rsid w:val="258C4EBE"/>
    <w:rsid w:val="260733C5"/>
    <w:rsid w:val="26C708A4"/>
    <w:rsid w:val="27CE17BE"/>
    <w:rsid w:val="280F766B"/>
    <w:rsid w:val="281C4C20"/>
    <w:rsid w:val="28824F4B"/>
    <w:rsid w:val="28991DCC"/>
    <w:rsid w:val="289C18BC"/>
    <w:rsid w:val="28A95D87"/>
    <w:rsid w:val="28B409B4"/>
    <w:rsid w:val="290C1C1E"/>
    <w:rsid w:val="29143B49"/>
    <w:rsid w:val="292648D0"/>
    <w:rsid w:val="297F6B0C"/>
    <w:rsid w:val="299407E6"/>
    <w:rsid w:val="29986528"/>
    <w:rsid w:val="29C0782D"/>
    <w:rsid w:val="29DF4157"/>
    <w:rsid w:val="2A1A0CEB"/>
    <w:rsid w:val="2A9E191C"/>
    <w:rsid w:val="2B233137"/>
    <w:rsid w:val="2B2A1401"/>
    <w:rsid w:val="2B2F46BC"/>
    <w:rsid w:val="2B404781"/>
    <w:rsid w:val="2B606BD1"/>
    <w:rsid w:val="2B6E1EC4"/>
    <w:rsid w:val="2B6E2239"/>
    <w:rsid w:val="2C3D2D9F"/>
    <w:rsid w:val="2CC43190"/>
    <w:rsid w:val="2CDD4252"/>
    <w:rsid w:val="2D574004"/>
    <w:rsid w:val="2D83129D"/>
    <w:rsid w:val="2DCC49F2"/>
    <w:rsid w:val="2E89643F"/>
    <w:rsid w:val="2EB3435C"/>
    <w:rsid w:val="2ED33B5E"/>
    <w:rsid w:val="2EFE0BDB"/>
    <w:rsid w:val="2F520F27"/>
    <w:rsid w:val="2F8A06C1"/>
    <w:rsid w:val="2FB83480"/>
    <w:rsid w:val="3032158E"/>
    <w:rsid w:val="30535FE9"/>
    <w:rsid w:val="3071362F"/>
    <w:rsid w:val="309F1F4A"/>
    <w:rsid w:val="30B579BF"/>
    <w:rsid w:val="313F54DB"/>
    <w:rsid w:val="315A40C3"/>
    <w:rsid w:val="31D2634F"/>
    <w:rsid w:val="328119CD"/>
    <w:rsid w:val="329D695D"/>
    <w:rsid w:val="32A221C5"/>
    <w:rsid w:val="32B36180"/>
    <w:rsid w:val="32BB0850"/>
    <w:rsid w:val="336003DF"/>
    <w:rsid w:val="342E36CC"/>
    <w:rsid w:val="344A6670"/>
    <w:rsid w:val="34CE72A2"/>
    <w:rsid w:val="36415851"/>
    <w:rsid w:val="36853990"/>
    <w:rsid w:val="3780389B"/>
    <w:rsid w:val="37DE77FC"/>
    <w:rsid w:val="38740160"/>
    <w:rsid w:val="38EE1CC0"/>
    <w:rsid w:val="390B530C"/>
    <w:rsid w:val="395A4DD8"/>
    <w:rsid w:val="39D864CC"/>
    <w:rsid w:val="3A54365D"/>
    <w:rsid w:val="3BA52E39"/>
    <w:rsid w:val="3BFF5F92"/>
    <w:rsid w:val="3C337FBC"/>
    <w:rsid w:val="3CA52FDE"/>
    <w:rsid w:val="3CBA010B"/>
    <w:rsid w:val="3D3659E4"/>
    <w:rsid w:val="3D673DEF"/>
    <w:rsid w:val="3D6A7D83"/>
    <w:rsid w:val="3DA1204F"/>
    <w:rsid w:val="3E0356E5"/>
    <w:rsid w:val="3E546A69"/>
    <w:rsid w:val="3E95498C"/>
    <w:rsid w:val="3EA9465A"/>
    <w:rsid w:val="3EBB7322"/>
    <w:rsid w:val="3ED951C1"/>
    <w:rsid w:val="3EE576C2"/>
    <w:rsid w:val="3F942E96"/>
    <w:rsid w:val="40DB1BD1"/>
    <w:rsid w:val="41943621"/>
    <w:rsid w:val="420662CD"/>
    <w:rsid w:val="426C1EA8"/>
    <w:rsid w:val="42E63A08"/>
    <w:rsid w:val="42F06635"/>
    <w:rsid w:val="434A3F97"/>
    <w:rsid w:val="43B6787E"/>
    <w:rsid w:val="443F1622"/>
    <w:rsid w:val="44B30262"/>
    <w:rsid w:val="450A0588"/>
    <w:rsid w:val="45174765"/>
    <w:rsid w:val="451900C5"/>
    <w:rsid w:val="452B429C"/>
    <w:rsid w:val="45442C68"/>
    <w:rsid w:val="45525385"/>
    <w:rsid w:val="456C1406"/>
    <w:rsid w:val="45A3237D"/>
    <w:rsid w:val="45BF1B3C"/>
    <w:rsid w:val="45EE3E2D"/>
    <w:rsid w:val="46A30795"/>
    <w:rsid w:val="47500770"/>
    <w:rsid w:val="48D419D9"/>
    <w:rsid w:val="49AD702E"/>
    <w:rsid w:val="49BA799D"/>
    <w:rsid w:val="49E50EBD"/>
    <w:rsid w:val="4ACA61F8"/>
    <w:rsid w:val="4B5856BF"/>
    <w:rsid w:val="4B8169C4"/>
    <w:rsid w:val="4C120231"/>
    <w:rsid w:val="4C670039"/>
    <w:rsid w:val="4C673E0C"/>
    <w:rsid w:val="4CAC3C95"/>
    <w:rsid w:val="4CE10E18"/>
    <w:rsid w:val="4D043409"/>
    <w:rsid w:val="4D5B4FF3"/>
    <w:rsid w:val="4E597784"/>
    <w:rsid w:val="4EEC684A"/>
    <w:rsid w:val="4F4421E2"/>
    <w:rsid w:val="4F9312DC"/>
    <w:rsid w:val="4FA40ED3"/>
    <w:rsid w:val="4FA7451F"/>
    <w:rsid w:val="4FD84D96"/>
    <w:rsid w:val="502618E8"/>
    <w:rsid w:val="5052092F"/>
    <w:rsid w:val="506F328F"/>
    <w:rsid w:val="5086682B"/>
    <w:rsid w:val="508A00C9"/>
    <w:rsid w:val="50A57DCA"/>
    <w:rsid w:val="50CD6207"/>
    <w:rsid w:val="50F43794"/>
    <w:rsid w:val="513E2C61"/>
    <w:rsid w:val="51491D32"/>
    <w:rsid w:val="51956D25"/>
    <w:rsid w:val="519A258E"/>
    <w:rsid w:val="51BD002A"/>
    <w:rsid w:val="5268268C"/>
    <w:rsid w:val="528B637A"/>
    <w:rsid w:val="533B56AA"/>
    <w:rsid w:val="541A79B6"/>
    <w:rsid w:val="546E3307"/>
    <w:rsid w:val="547F1F0F"/>
    <w:rsid w:val="54800EBA"/>
    <w:rsid w:val="54E65AEA"/>
    <w:rsid w:val="55482300"/>
    <w:rsid w:val="55885708"/>
    <w:rsid w:val="55BB0531"/>
    <w:rsid w:val="56D4209E"/>
    <w:rsid w:val="570A3D11"/>
    <w:rsid w:val="57416605"/>
    <w:rsid w:val="57D8796C"/>
    <w:rsid w:val="57DF519E"/>
    <w:rsid w:val="58535244"/>
    <w:rsid w:val="5946289B"/>
    <w:rsid w:val="59CD7278"/>
    <w:rsid w:val="5A2C3F9F"/>
    <w:rsid w:val="5A64198B"/>
    <w:rsid w:val="5B595267"/>
    <w:rsid w:val="5BE03293"/>
    <w:rsid w:val="5BE61256"/>
    <w:rsid w:val="5CF07506"/>
    <w:rsid w:val="5D041D1A"/>
    <w:rsid w:val="5D3A69D3"/>
    <w:rsid w:val="5D740137"/>
    <w:rsid w:val="5DB06C95"/>
    <w:rsid w:val="5DCA5FA9"/>
    <w:rsid w:val="5DCC6AFE"/>
    <w:rsid w:val="5DDB6408"/>
    <w:rsid w:val="5E643093"/>
    <w:rsid w:val="5E826883"/>
    <w:rsid w:val="5E954808"/>
    <w:rsid w:val="5E9C63D1"/>
    <w:rsid w:val="5F116B44"/>
    <w:rsid w:val="5FB40CBE"/>
    <w:rsid w:val="5FD8412C"/>
    <w:rsid w:val="60172FFB"/>
    <w:rsid w:val="60326087"/>
    <w:rsid w:val="60427C06"/>
    <w:rsid w:val="606F4BE5"/>
    <w:rsid w:val="60765F74"/>
    <w:rsid w:val="6109328C"/>
    <w:rsid w:val="61F061FA"/>
    <w:rsid w:val="62682234"/>
    <w:rsid w:val="63002A1F"/>
    <w:rsid w:val="637C7D45"/>
    <w:rsid w:val="63A92490"/>
    <w:rsid w:val="63B15515"/>
    <w:rsid w:val="63C2492F"/>
    <w:rsid w:val="63F94D40"/>
    <w:rsid w:val="64FB113D"/>
    <w:rsid w:val="65053D6A"/>
    <w:rsid w:val="650C6EA7"/>
    <w:rsid w:val="6572117F"/>
    <w:rsid w:val="659375C8"/>
    <w:rsid w:val="65AB66C0"/>
    <w:rsid w:val="65F30067"/>
    <w:rsid w:val="665C20B0"/>
    <w:rsid w:val="668F1B3D"/>
    <w:rsid w:val="673E5311"/>
    <w:rsid w:val="67EB5499"/>
    <w:rsid w:val="67F0485E"/>
    <w:rsid w:val="68190258"/>
    <w:rsid w:val="682269E1"/>
    <w:rsid w:val="68662D72"/>
    <w:rsid w:val="69230C63"/>
    <w:rsid w:val="69603C65"/>
    <w:rsid w:val="6AE308EF"/>
    <w:rsid w:val="6B07083C"/>
    <w:rsid w:val="6B2018FE"/>
    <w:rsid w:val="6B715CB5"/>
    <w:rsid w:val="6B852741"/>
    <w:rsid w:val="6BC524A5"/>
    <w:rsid w:val="6C264CF2"/>
    <w:rsid w:val="6C3D203B"/>
    <w:rsid w:val="6CC87B57"/>
    <w:rsid w:val="6D3E41FC"/>
    <w:rsid w:val="6D631F76"/>
    <w:rsid w:val="6DDF5B5A"/>
    <w:rsid w:val="6E0E1EE1"/>
    <w:rsid w:val="6E470F4F"/>
    <w:rsid w:val="6E8B1784"/>
    <w:rsid w:val="6EED1AF7"/>
    <w:rsid w:val="6F011A46"/>
    <w:rsid w:val="6F045C56"/>
    <w:rsid w:val="6F0D7E9E"/>
    <w:rsid w:val="6FB2689C"/>
    <w:rsid w:val="6FEC6252"/>
    <w:rsid w:val="6FF2313D"/>
    <w:rsid w:val="701D28B0"/>
    <w:rsid w:val="70785D38"/>
    <w:rsid w:val="70883BA0"/>
    <w:rsid w:val="70DD5B9B"/>
    <w:rsid w:val="710D46D2"/>
    <w:rsid w:val="72077373"/>
    <w:rsid w:val="72294059"/>
    <w:rsid w:val="72405F70"/>
    <w:rsid w:val="7275252F"/>
    <w:rsid w:val="72930C07"/>
    <w:rsid w:val="73DE5EB2"/>
    <w:rsid w:val="740718AD"/>
    <w:rsid w:val="744E128A"/>
    <w:rsid w:val="75F96FD3"/>
    <w:rsid w:val="765E777E"/>
    <w:rsid w:val="76C72E0C"/>
    <w:rsid w:val="775D7A36"/>
    <w:rsid w:val="779A6594"/>
    <w:rsid w:val="77A967D7"/>
    <w:rsid w:val="78283BA0"/>
    <w:rsid w:val="782B3690"/>
    <w:rsid w:val="783315DD"/>
    <w:rsid w:val="78430F34"/>
    <w:rsid w:val="793C27A7"/>
    <w:rsid w:val="7B3311D9"/>
    <w:rsid w:val="7BA75723"/>
    <w:rsid w:val="7C1F52BA"/>
    <w:rsid w:val="7C4023F9"/>
    <w:rsid w:val="7C541407"/>
    <w:rsid w:val="7C920181"/>
    <w:rsid w:val="7CCA0D4A"/>
    <w:rsid w:val="7D3B4375"/>
    <w:rsid w:val="7D472D1A"/>
    <w:rsid w:val="7D4A3064"/>
    <w:rsid w:val="7D8B70AB"/>
    <w:rsid w:val="7E16455B"/>
    <w:rsid w:val="7E3C2153"/>
    <w:rsid w:val="7E551467"/>
    <w:rsid w:val="7F076C05"/>
    <w:rsid w:val="7F54171E"/>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table" w:styleId="6">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1829</Words>
  <Characters>1855</Characters>
  <Lines>0</Lines>
  <Paragraphs>0</Paragraphs>
  <TotalTime>9</TotalTime>
  <ScaleCrop>false</ScaleCrop>
  <LinksUpToDate>false</LinksUpToDate>
  <CharactersWithSpaces>2070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2023-08-02T06:59:00Z</dcterms:created>
  <dc:creator>wxm</dc:creator>
  <cp:lastModifiedBy>DeerLizzy</cp:lastModifiedBy>
  <cp:lastPrinted>2025-01-10T01:21:00Z</cp:lastPrinted>
  <dcterms:modified xsi:type="dcterms:W3CDTF">2025-01-10T01:27:44Z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135E8A10A90B493E8C249CEF54FE0123_13</vt:lpwstr>
  </property>
  <property fmtid="{D5CDD505-2E9C-101B-9397-08002B2CF9AE}" pid="4" name="KSOTemplateDocerSaveRecord">
    <vt:lpwstr>eyJoZGlkIjoiOGJhMDAyZmUyNDNkY2Y0NTA2MjYzZjllMDIxYzNiNjciLCJ1c2VySWQiOiIxMjQzMDUwNDE1In0=</vt:lpwstr>
  </property>
</Properties>
</file>