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A6" w:rsidRDefault="00066EA6" w:rsidP="00066EA6">
      <w:pPr>
        <w:spacing w:afterLines="100" w:after="312" w:line="580" w:lineRule="exact"/>
        <w:jc w:val="left"/>
        <w:rPr>
          <w:rFonts w:ascii="方正黑体_GBK" w:eastAsia="方正黑体_GBK" w:hAnsi="方正黑体_GBK" w:cs="方正黑体_GBK" w:hint="eastAsia"/>
          <w:b/>
          <w:sz w:val="32"/>
          <w:szCs w:val="32"/>
        </w:rPr>
      </w:pPr>
      <w:r>
        <w:rPr>
          <w:rFonts w:ascii="方正黑体_GBK" w:eastAsia="方正黑体_GBK" w:hAnsi="方正黑体_GBK" w:cs="方正黑体_GBK" w:hint="eastAsia"/>
          <w:sz w:val="32"/>
          <w:szCs w:val="32"/>
        </w:rPr>
        <w:t>附件1</w:t>
      </w:r>
    </w:p>
    <w:p w:rsidR="00066EA6" w:rsidRDefault="00066EA6" w:rsidP="00066EA6">
      <w:pPr>
        <w:spacing w:afterLines="100" w:after="312" w:line="580" w:lineRule="exact"/>
        <w:jc w:val="center"/>
        <w:rPr>
          <w:rFonts w:ascii="方正小标宋_GBK" w:eastAsia="方正小标宋_GBK" w:hAnsi="方正小标宋_GBK" w:cs="方正小标宋_GBK" w:hint="eastAsia"/>
          <w:bCs/>
          <w:sz w:val="44"/>
          <w:szCs w:val="44"/>
        </w:rPr>
      </w:pPr>
      <w:bookmarkStart w:id="0" w:name="_GoBack"/>
      <w:r>
        <w:rPr>
          <w:rFonts w:ascii="方正小标宋_GBK" w:eastAsia="方正小标宋_GBK" w:hAnsi="方正小标宋_GBK" w:cs="方正小标宋_GBK" w:hint="eastAsia"/>
          <w:bCs/>
          <w:sz w:val="44"/>
          <w:szCs w:val="44"/>
        </w:rPr>
        <w:t>2022年度苏州市科协软科学研究课题指南</w:t>
      </w:r>
      <w:bookmarkEnd w:id="0"/>
    </w:p>
    <w:p w:rsidR="00066EA6" w:rsidRDefault="00066EA6" w:rsidP="00066EA6">
      <w:pPr>
        <w:spacing w:line="58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sz w:val="32"/>
          <w:szCs w:val="32"/>
        </w:rPr>
        <w:t>一、聚焦苏州经济社会高质量发展的课题研究</w:t>
      </w:r>
    </w:p>
    <w:p w:rsidR="00066EA6" w:rsidRDefault="00066EA6" w:rsidP="00066EA6">
      <w:pPr>
        <w:widowControl/>
        <w:spacing w:line="580" w:lineRule="exact"/>
        <w:ind w:firstLineChars="200" w:firstLine="640"/>
        <w:textAlignment w:val="baseline"/>
        <w:rPr>
          <w:rStyle w:val="NormalCharacter"/>
          <w:rFonts w:ascii="Times New Roman" w:eastAsia="方正仿宋_GBK" w:hAnsi="Times New Roman" w:cs="Times New Roman"/>
          <w:color w:val="FF0000"/>
          <w:sz w:val="32"/>
          <w:szCs w:val="32"/>
        </w:rPr>
      </w:pPr>
      <w:r>
        <w:rPr>
          <w:rStyle w:val="NormalCharacter"/>
          <w:rFonts w:ascii="Times New Roman" w:eastAsia="方正仿宋_GBK" w:hAnsi="Times New Roman" w:cs="Times New Roman"/>
          <w:sz w:val="32"/>
          <w:szCs w:val="32"/>
        </w:rPr>
        <w:t>1.</w:t>
      </w:r>
      <w:r>
        <w:rPr>
          <w:rStyle w:val="NormalCharacter"/>
          <w:rFonts w:ascii="Times New Roman" w:eastAsia="方正仿宋_GBK" w:hAnsi="Times New Roman" w:cs="Times New Roman"/>
          <w:sz w:val="32"/>
          <w:szCs w:val="32"/>
        </w:rPr>
        <w:t>积极稳妥推进</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双碳</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工作，加快推动全面绿色低碳转型研究；</w:t>
      </w:r>
    </w:p>
    <w:p w:rsidR="00066EA6" w:rsidRDefault="00066EA6" w:rsidP="00066EA6">
      <w:pPr>
        <w:widowControl/>
        <w:spacing w:line="580" w:lineRule="exact"/>
        <w:ind w:firstLineChars="200" w:firstLine="640"/>
        <w:textAlignment w:val="baseline"/>
        <w:rPr>
          <w:rStyle w:val="NormalCharacter"/>
          <w:rFonts w:ascii="Times New Roman" w:eastAsia="方正仿宋_GBK" w:hAnsi="Times New Roman" w:cs="Times New Roman"/>
          <w:color w:val="FF0000"/>
          <w:sz w:val="32"/>
          <w:szCs w:val="32"/>
        </w:rPr>
      </w:pPr>
      <w:r>
        <w:rPr>
          <w:rStyle w:val="NormalCharacter"/>
          <w:rFonts w:ascii="Times New Roman" w:eastAsia="方正仿宋_GBK" w:hAnsi="Times New Roman" w:cs="Times New Roman"/>
          <w:sz w:val="32"/>
          <w:szCs w:val="32"/>
        </w:rPr>
        <w:t>2.</w:t>
      </w:r>
      <w:r>
        <w:rPr>
          <w:rStyle w:val="NormalCharacter"/>
          <w:rFonts w:ascii="Times New Roman" w:eastAsia="方正仿宋_GBK" w:hAnsi="Times New Roman" w:cs="Times New Roman"/>
          <w:sz w:val="32"/>
          <w:szCs w:val="32"/>
        </w:rPr>
        <w:t>彰显苏州文化基因在当代产业中的价值，推动</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江南文化</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品牌建设；</w:t>
      </w:r>
    </w:p>
    <w:p w:rsidR="00066EA6" w:rsidRDefault="00066EA6" w:rsidP="00066EA6">
      <w:pPr>
        <w:widowControl/>
        <w:spacing w:line="580" w:lineRule="exact"/>
        <w:ind w:firstLineChars="200" w:firstLine="640"/>
        <w:textAlignment w:val="baseline"/>
        <w:rPr>
          <w:rStyle w:val="NormalCharacter"/>
          <w:rFonts w:ascii="Times New Roman" w:eastAsia="方正仿宋_GBK" w:hAnsi="Times New Roman" w:cs="Times New Roman"/>
          <w:sz w:val="32"/>
          <w:szCs w:val="32"/>
        </w:rPr>
      </w:pPr>
      <w:r>
        <w:rPr>
          <w:rStyle w:val="NormalCharacter"/>
          <w:rFonts w:ascii="Times New Roman" w:eastAsia="方正仿宋_GBK" w:hAnsi="Times New Roman" w:cs="Times New Roman"/>
          <w:sz w:val="32"/>
          <w:szCs w:val="32"/>
        </w:rPr>
        <w:t>3.</w:t>
      </w:r>
      <w:r>
        <w:rPr>
          <w:rStyle w:val="NormalCharacter"/>
          <w:rFonts w:ascii="Times New Roman" w:eastAsia="方正仿宋_GBK" w:hAnsi="Times New Roman" w:cs="Times New Roman"/>
          <w:sz w:val="32"/>
          <w:szCs w:val="32"/>
        </w:rPr>
        <w:t>推进生态建设与文化保护相融合研究；</w:t>
      </w:r>
    </w:p>
    <w:p w:rsidR="00066EA6" w:rsidRDefault="00066EA6" w:rsidP="00066EA6">
      <w:pPr>
        <w:widowControl/>
        <w:spacing w:line="580" w:lineRule="exact"/>
        <w:ind w:firstLineChars="200" w:firstLine="640"/>
        <w:textAlignment w:val="baseline"/>
        <w:rPr>
          <w:rStyle w:val="NormalCharacter"/>
          <w:rFonts w:ascii="Times New Roman" w:eastAsia="方正仿宋_GBK" w:hAnsi="Times New Roman" w:cs="Times New Roman"/>
          <w:sz w:val="32"/>
          <w:szCs w:val="32"/>
        </w:rPr>
      </w:pPr>
      <w:r>
        <w:rPr>
          <w:rStyle w:val="NormalCharacter"/>
          <w:rFonts w:ascii="Times New Roman" w:eastAsia="方正仿宋_GBK" w:hAnsi="Times New Roman" w:cs="Times New Roman"/>
          <w:sz w:val="32"/>
          <w:szCs w:val="32"/>
        </w:rPr>
        <w:t>4.</w:t>
      </w:r>
      <w:r>
        <w:rPr>
          <w:rStyle w:val="NormalCharacter"/>
          <w:rFonts w:ascii="Times New Roman" w:eastAsia="方正仿宋_GBK" w:hAnsi="Times New Roman" w:cs="Times New Roman"/>
          <w:sz w:val="32"/>
          <w:szCs w:val="32"/>
        </w:rPr>
        <w:t>推动市域统筹发展若干重大问题研究；</w:t>
      </w:r>
    </w:p>
    <w:p w:rsidR="00066EA6" w:rsidRDefault="00066EA6" w:rsidP="00066EA6">
      <w:pPr>
        <w:widowControl/>
        <w:spacing w:line="580" w:lineRule="exact"/>
        <w:ind w:firstLineChars="200" w:firstLine="640"/>
        <w:textAlignment w:val="baseline"/>
        <w:rPr>
          <w:rStyle w:val="NormalCharacter"/>
          <w:rFonts w:ascii="Times New Roman" w:eastAsia="方正仿宋_GBK" w:hAnsi="Times New Roman" w:cs="Times New Roman"/>
          <w:sz w:val="32"/>
          <w:szCs w:val="32"/>
        </w:rPr>
      </w:pPr>
      <w:r>
        <w:rPr>
          <w:rStyle w:val="NormalCharacter"/>
          <w:rFonts w:ascii="Times New Roman" w:eastAsia="方正仿宋_GBK" w:hAnsi="Times New Roman" w:cs="Times New Roman"/>
          <w:sz w:val="32"/>
          <w:szCs w:val="32"/>
        </w:rPr>
        <w:t>5.</w:t>
      </w:r>
      <w:r>
        <w:rPr>
          <w:rStyle w:val="NormalCharacter"/>
          <w:rFonts w:ascii="Times New Roman" w:eastAsia="方正仿宋_GBK" w:hAnsi="Times New Roman" w:cs="Times New Roman"/>
          <w:sz w:val="32"/>
          <w:szCs w:val="32"/>
        </w:rPr>
        <w:t>优化国有资产资源资金布局研究；</w:t>
      </w:r>
    </w:p>
    <w:p w:rsidR="00066EA6" w:rsidRDefault="00066EA6" w:rsidP="00066EA6">
      <w:pPr>
        <w:widowControl/>
        <w:spacing w:line="580" w:lineRule="exact"/>
        <w:ind w:firstLineChars="200" w:firstLine="640"/>
        <w:textAlignment w:val="baseline"/>
        <w:rPr>
          <w:rStyle w:val="NormalCharacter"/>
          <w:rFonts w:ascii="Times New Roman" w:eastAsia="方正仿宋_GBK" w:hAnsi="Times New Roman" w:cs="Times New Roman"/>
          <w:sz w:val="32"/>
          <w:szCs w:val="32"/>
        </w:rPr>
      </w:pPr>
      <w:r>
        <w:rPr>
          <w:rStyle w:val="NormalCharacter"/>
          <w:rFonts w:ascii="Times New Roman" w:eastAsia="方正仿宋_GBK" w:hAnsi="Times New Roman" w:cs="Times New Roman"/>
          <w:sz w:val="32"/>
          <w:szCs w:val="32"/>
        </w:rPr>
        <w:t>6.</w:t>
      </w:r>
      <w:r>
        <w:rPr>
          <w:rStyle w:val="NormalCharacter"/>
          <w:rFonts w:ascii="Times New Roman" w:eastAsia="方正仿宋_GBK" w:hAnsi="Times New Roman" w:cs="Times New Roman"/>
          <w:sz w:val="32"/>
          <w:szCs w:val="32"/>
        </w:rPr>
        <w:t>推动城市有机更新提升土地资源配置效率研究；</w:t>
      </w:r>
    </w:p>
    <w:p w:rsidR="00066EA6" w:rsidRDefault="00066EA6" w:rsidP="00066EA6">
      <w:pPr>
        <w:widowControl/>
        <w:spacing w:line="580" w:lineRule="exact"/>
        <w:ind w:firstLineChars="200" w:firstLine="640"/>
        <w:textAlignment w:val="baseline"/>
        <w:rPr>
          <w:rStyle w:val="NormalCharacter"/>
          <w:rFonts w:ascii="Times New Roman" w:eastAsia="方正仿宋_GBK" w:hAnsi="Times New Roman" w:cs="Times New Roman"/>
          <w:color w:val="FF0000"/>
          <w:sz w:val="32"/>
          <w:szCs w:val="32"/>
        </w:rPr>
      </w:pPr>
      <w:r>
        <w:rPr>
          <w:rStyle w:val="NormalCharacter"/>
          <w:rFonts w:ascii="Times New Roman" w:eastAsia="方正仿宋_GBK" w:hAnsi="Times New Roman" w:cs="Times New Roman"/>
          <w:sz w:val="32"/>
          <w:szCs w:val="32"/>
        </w:rPr>
        <w:t>7.</w:t>
      </w:r>
      <w:r>
        <w:rPr>
          <w:rStyle w:val="NormalCharacter"/>
          <w:rFonts w:ascii="Times New Roman" w:eastAsia="方正仿宋_GBK" w:hAnsi="Times New Roman" w:cs="Times New Roman"/>
          <w:sz w:val="32"/>
          <w:szCs w:val="32"/>
        </w:rPr>
        <w:t>推动市域统筹发展、推进高水平城市建设管理研究；</w:t>
      </w:r>
    </w:p>
    <w:p w:rsidR="00066EA6" w:rsidRDefault="00066EA6" w:rsidP="00066EA6">
      <w:pPr>
        <w:spacing w:line="580" w:lineRule="exact"/>
        <w:ind w:firstLineChars="200" w:firstLine="640"/>
        <w:rPr>
          <w:rStyle w:val="NormalCharacter"/>
          <w:rFonts w:ascii="Times New Roman" w:eastAsia="方正仿宋_GBK" w:hAnsi="Times New Roman" w:cs="Times New Roman"/>
          <w:sz w:val="32"/>
          <w:szCs w:val="32"/>
        </w:rPr>
      </w:pPr>
      <w:r>
        <w:rPr>
          <w:rStyle w:val="NormalCharacter"/>
          <w:rFonts w:ascii="Times New Roman" w:eastAsia="方正仿宋_GBK" w:hAnsi="Times New Roman" w:cs="Times New Roman"/>
          <w:sz w:val="32"/>
          <w:szCs w:val="32"/>
        </w:rPr>
        <w:t>8.</w:t>
      </w:r>
      <w:r>
        <w:rPr>
          <w:rStyle w:val="NormalCharacter"/>
          <w:rFonts w:ascii="Times New Roman" w:eastAsia="方正仿宋_GBK" w:hAnsi="Times New Roman" w:cs="Times New Roman"/>
          <w:sz w:val="32"/>
          <w:szCs w:val="32"/>
        </w:rPr>
        <w:t>贯彻落实苏州</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十四五</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规划相关领域的课题研究；</w:t>
      </w:r>
    </w:p>
    <w:p w:rsidR="00066EA6" w:rsidRDefault="00066EA6" w:rsidP="00066EA6">
      <w:pPr>
        <w:spacing w:line="580" w:lineRule="exact"/>
        <w:ind w:firstLineChars="200" w:firstLine="640"/>
        <w:rPr>
          <w:rFonts w:ascii="Times New Roman" w:eastAsia="方正仿宋_GBK" w:hAnsi="Times New Roman" w:cs="Times New Roman"/>
          <w:color w:val="FF0000"/>
          <w:sz w:val="32"/>
          <w:szCs w:val="32"/>
        </w:rPr>
      </w:pPr>
      <w:r>
        <w:rPr>
          <w:rFonts w:ascii="Times New Roman" w:eastAsia="方正仿宋_GBK" w:hAnsi="Times New Roman" w:cs="Times New Roman"/>
          <w:color w:val="000000"/>
          <w:sz w:val="32"/>
          <w:szCs w:val="32"/>
        </w:rPr>
        <w:t>9</w:t>
      </w:r>
      <w:r>
        <w:rPr>
          <w:rStyle w:val="NormalCharacter"/>
          <w:rFonts w:ascii="Times New Roman" w:eastAsia="方正仿宋_GBK" w:hAnsi="Times New Roman" w:cs="Times New Roman"/>
          <w:sz w:val="32"/>
          <w:szCs w:val="32"/>
        </w:rPr>
        <w:t>.</w:t>
      </w:r>
      <w:r>
        <w:rPr>
          <w:rFonts w:ascii="Times New Roman" w:eastAsia="方正仿宋_GBK" w:hAnsi="Times New Roman" w:cs="Times New Roman"/>
          <w:color w:val="000000"/>
          <w:sz w:val="32"/>
          <w:szCs w:val="32"/>
        </w:rPr>
        <w:t>苏州加强新冠肺炎患者救治、卫生防疫、公共卫生体系建设研究；</w:t>
      </w:r>
    </w:p>
    <w:p w:rsidR="00066EA6" w:rsidRDefault="00066EA6" w:rsidP="00066EA6">
      <w:pPr>
        <w:spacing w:line="580" w:lineRule="exact"/>
        <w:ind w:firstLineChars="200" w:firstLine="640"/>
        <w:rPr>
          <w:rStyle w:val="NormalCharacter"/>
          <w:rFonts w:ascii="Times New Roman" w:eastAsia="方正仿宋_GBK" w:hAnsi="Times New Roman" w:cs="Times New Roman"/>
          <w:sz w:val="32"/>
          <w:szCs w:val="32"/>
        </w:rPr>
      </w:pPr>
      <w:r>
        <w:rPr>
          <w:rFonts w:ascii="Times New Roman" w:eastAsia="方正仿宋_GBK" w:hAnsi="Times New Roman" w:cs="Times New Roman"/>
          <w:color w:val="000000"/>
          <w:sz w:val="32"/>
          <w:szCs w:val="32"/>
        </w:rPr>
        <w:t>10</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新冠肺炎疫情常态化防控形势下，提升社会治理能力、群众自治能力的重难点问题研究；</w:t>
      </w:r>
    </w:p>
    <w:p w:rsidR="00066EA6" w:rsidRDefault="00066EA6" w:rsidP="00066EA6">
      <w:pPr>
        <w:spacing w:line="580" w:lineRule="exact"/>
        <w:ind w:firstLineChars="200" w:firstLine="640"/>
        <w:rPr>
          <w:rStyle w:val="NormalCharacter"/>
          <w:rFonts w:ascii="Times New Roman" w:eastAsia="方正仿宋_GBK" w:hAnsi="Times New Roman" w:cs="Times New Roman"/>
          <w:sz w:val="32"/>
          <w:szCs w:val="32"/>
        </w:rPr>
      </w:pPr>
      <w:r>
        <w:rPr>
          <w:rStyle w:val="NormalCharacter"/>
          <w:rFonts w:ascii="Times New Roman" w:eastAsia="方正仿宋_GBK" w:hAnsi="Times New Roman" w:cs="Times New Roman"/>
          <w:sz w:val="32"/>
          <w:szCs w:val="32"/>
        </w:rPr>
        <w:t>11.</w:t>
      </w:r>
      <w:proofErr w:type="gramStart"/>
      <w:r>
        <w:rPr>
          <w:rStyle w:val="NormalCharacter"/>
          <w:rFonts w:ascii="Times New Roman" w:eastAsia="方正仿宋_GBK" w:hAnsi="Times New Roman" w:cs="Times New Roman"/>
          <w:sz w:val="32"/>
          <w:szCs w:val="32"/>
        </w:rPr>
        <w:t>其他和</w:t>
      </w:r>
      <w:proofErr w:type="gramEnd"/>
      <w:r>
        <w:rPr>
          <w:rStyle w:val="NormalCharacter"/>
          <w:rFonts w:ascii="Times New Roman" w:eastAsia="方正仿宋_GBK" w:hAnsi="Times New Roman" w:cs="Times New Roman"/>
          <w:sz w:val="32"/>
          <w:szCs w:val="32"/>
        </w:rPr>
        <w:t>本专业领域相关的推进经济社会高质量发展过程中的重难点问题研究。</w:t>
      </w:r>
    </w:p>
    <w:p w:rsidR="00066EA6" w:rsidRDefault="00066EA6" w:rsidP="00066EA6">
      <w:pPr>
        <w:spacing w:line="58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sz w:val="32"/>
          <w:szCs w:val="32"/>
        </w:rPr>
        <w:t>二、聚焦苏州科技社团高质量发展的课题研究</w:t>
      </w:r>
    </w:p>
    <w:p w:rsidR="00066EA6" w:rsidRDefault="00066EA6" w:rsidP="00066EA6">
      <w:pPr>
        <w:spacing w:line="580" w:lineRule="exact"/>
        <w:ind w:firstLine="630"/>
        <w:rPr>
          <w:rFonts w:ascii="Times New Roman" w:eastAsia="方正仿宋_GBK" w:hAnsi="Times New Roman" w:cs="Times New Roman"/>
          <w:b/>
          <w:kern w:val="0"/>
          <w:sz w:val="32"/>
          <w:szCs w:val="32"/>
        </w:rPr>
      </w:pPr>
      <w:r>
        <w:rPr>
          <w:rStyle w:val="NormalCharacter"/>
          <w:rFonts w:ascii="Times New Roman" w:eastAsia="方正仿宋_GBK" w:hAnsi="Times New Roman" w:cs="Times New Roman"/>
          <w:sz w:val="32"/>
          <w:szCs w:val="32"/>
        </w:rPr>
        <w:t>落实《关于加强党建引领推进学会创新发展的意见》</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学会工作十八条</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的实践和思考。</w:t>
      </w:r>
    </w:p>
    <w:p w:rsidR="00066EA6" w:rsidRDefault="00066EA6" w:rsidP="00066EA6">
      <w:pPr>
        <w:spacing w:line="580" w:lineRule="exact"/>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w:t>
      </w:r>
      <w:r>
        <w:rPr>
          <w:rStyle w:val="NormalCharacter"/>
          <w:rFonts w:ascii="Times New Roman" w:eastAsia="方正仿宋_GBK" w:hAnsi="Times New Roman" w:cs="Times New Roman"/>
          <w:sz w:val="32"/>
          <w:szCs w:val="32"/>
        </w:rPr>
        <w:t>.</w:t>
      </w:r>
      <w:r>
        <w:rPr>
          <w:rFonts w:ascii="Times New Roman" w:eastAsia="方正仿宋_GBK" w:hAnsi="Times New Roman" w:cs="Times New Roman"/>
          <w:sz w:val="32"/>
          <w:szCs w:val="32"/>
        </w:rPr>
        <w:t>科技</w:t>
      </w:r>
      <w:proofErr w:type="gramStart"/>
      <w:r>
        <w:rPr>
          <w:rFonts w:ascii="Times New Roman" w:eastAsia="方正仿宋_GBK" w:hAnsi="Times New Roman" w:cs="Times New Roman"/>
          <w:sz w:val="32"/>
          <w:szCs w:val="32"/>
        </w:rPr>
        <w:t>社团党建</w:t>
      </w:r>
      <w:proofErr w:type="gramEnd"/>
      <w:r>
        <w:rPr>
          <w:rFonts w:ascii="Times New Roman" w:eastAsia="方正仿宋_GBK" w:hAnsi="Times New Roman" w:cs="Times New Roman"/>
          <w:sz w:val="32"/>
          <w:szCs w:val="32"/>
        </w:rPr>
        <w:t>工作领导小组发挥好党建引领功能的模式研究和实施路径研究；</w:t>
      </w:r>
    </w:p>
    <w:p w:rsidR="00066EA6" w:rsidRDefault="00066EA6" w:rsidP="00066EA6">
      <w:pPr>
        <w:spacing w:line="580" w:lineRule="exact"/>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Style w:val="NormalCharacter"/>
          <w:rFonts w:ascii="Times New Roman" w:eastAsia="方正仿宋_GBK" w:hAnsi="Times New Roman" w:cs="Times New Roman"/>
          <w:sz w:val="32"/>
          <w:szCs w:val="32"/>
        </w:rPr>
        <w:t>创新</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党建强会</w:t>
      </w:r>
      <w:r>
        <w:rPr>
          <w:rStyle w:val="NormalCharacter"/>
          <w:rFonts w:ascii="Times New Roman" w:eastAsia="方正仿宋_GBK" w:hAnsi="Times New Roman" w:cs="Times New Roman"/>
          <w:sz w:val="32"/>
          <w:szCs w:val="32"/>
        </w:rPr>
        <w:t>”</w:t>
      </w:r>
      <w:r>
        <w:rPr>
          <w:rStyle w:val="NormalCharacter"/>
          <w:rFonts w:ascii="Times New Roman" w:eastAsia="方正仿宋_GBK" w:hAnsi="Times New Roman" w:cs="Times New Roman"/>
          <w:sz w:val="32"/>
          <w:szCs w:val="32"/>
        </w:rPr>
        <w:t>的组织形式、工作机制、活动方式研究</w:t>
      </w:r>
      <w:r>
        <w:rPr>
          <w:rFonts w:ascii="Times New Roman" w:eastAsia="方正仿宋_GBK" w:hAnsi="Times New Roman" w:cs="Times New Roman"/>
          <w:sz w:val="32"/>
          <w:szCs w:val="32"/>
        </w:rPr>
        <w:t>；</w:t>
      </w:r>
    </w:p>
    <w:p w:rsidR="00066EA6" w:rsidRDefault="00066EA6" w:rsidP="00066EA6">
      <w:pPr>
        <w:spacing w:line="580" w:lineRule="exact"/>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科技社团服务会员和创新发展工作机制研究；</w:t>
      </w:r>
    </w:p>
    <w:p w:rsidR="00066EA6" w:rsidRDefault="00066EA6" w:rsidP="00066EA6">
      <w:pPr>
        <w:spacing w:line="580" w:lineRule="exact"/>
        <w:ind w:firstLine="645"/>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Style w:val="NormalCharacter"/>
          <w:rFonts w:ascii="Times New Roman" w:eastAsia="方正仿宋_GBK" w:hAnsi="Times New Roman" w:cs="Times New Roman"/>
          <w:sz w:val="32"/>
          <w:szCs w:val="32"/>
        </w:rPr>
        <w:t>.</w:t>
      </w:r>
      <w:r>
        <w:rPr>
          <w:rFonts w:ascii="Times New Roman" w:eastAsia="方正仿宋_GBK" w:hAnsi="Times New Roman" w:cs="Times New Roman"/>
          <w:sz w:val="32"/>
          <w:szCs w:val="32"/>
        </w:rPr>
        <w:t>传承弘扬科学家精神的方式和途径研究；</w:t>
      </w:r>
    </w:p>
    <w:p w:rsidR="00066EA6" w:rsidRDefault="00066EA6" w:rsidP="00066EA6">
      <w:pPr>
        <w:spacing w:line="58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5</w:t>
      </w:r>
      <w:r>
        <w:rPr>
          <w:rStyle w:val="NormalCharacter"/>
          <w:rFonts w:ascii="Times New Roman" w:eastAsia="方正仿宋_GBK" w:hAnsi="Times New Roman" w:cs="Times New Roman"/>
          <w:sz w:val="32"/>
          <w:szCs w:val="32"/>
        </w:rPr>
        <w:t>.</w:t>
      </w:r>
      <w:r>
        <w:rPr>
          <w:rFonts w:ascii="Times New Roman" w:eastAsia="方正仿宋_GBK" w:hAnsi="Times New Roman" w:cs="Times New Roman"/>
          <w:sz w:val="32"/>
          <w:szCs w:val="32"/>
        </w:rPr>
        <w:t>科技社团设奖的实践探索和关键环节研究；</w:t>
      </w:r>
    </w:p>
    <w:p w:rsidR="00066EA6" w:rsidRDefault="00066EA6" w:rsidP="00066EA6">
      <w:pPr>
        <w:spacing w:line="58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Style w:val="NormalCharacter"/>
          <w:rFonts w:ascii="Times New Roman" w:eastAsia="方正仿宋_GBK" w:hAnsi="Times New Roman" w:cs="Times New Roman"/>
          <w:sz w:val="32"/>
          <w:szCs w:val="32"/>
        </w:rPr>
        <w:t>.</w:t>
      </w:r>
      <w:r>
        <w:rPr>
          <w:rFonts w:ascii="Times New Roman" w:eastAsia="方正仿宋_GBK" w:hAnsi="Times New Roman" w:cs="Times New Roman"/>
          <w:sz w:val="32"/>
          <w:szCs w:val="32"/>
        </w:rPr>
        <w:t>科技社团有效承接政府转移职能的机制研究；</w:t>
      </w:r>
    </w:p>
    <w:p w:rsidR="00066EA6" w:rsidRDefault="00066EA6" w:rsidP="00066EA6">
      <w:pPr>
        <w:spacing w:line="58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Style w:val="NormalCharacter"/>
          <w:rFonts w:ascii="Times New Roman" w:eastAsia="方正仿宋_GBK" w:hAnsi="Times New Roman" w:cs="Times New Roman"/>
          <w:sz w:val="32"/>
          <w:szCs w:val="32"/>
        </w:rPr>
        <w:t>.</w:t>
      </w:r>
      <w:r>
        <w:rPr>
          <w:rFonts w:ascii="Times New Roman" w:eastAsia="方正仿宋_GBK" w:hAnsi="Times New Roman" w:cs="Times New Roman"/>
          <w:sz w:val="32"/>
          <w:szCs w:val="32"/>
        </w:rPr>
        <w:t>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学会日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学术月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活动模式研究；</w:t>
      </w:r>
    </w:p>
    <w:p w:rsidR="00066EA6" w:rsidRDefault="00066EA6" w:rsidP="00066EA6">
      <w:pPr>
        <w:spacing w:line="580" w:lineRule="exact"/>
        <w:ind w:firstLine="630"/>
        <w:rPr>
          <w:rFonts w:ascii="Times New Roman" w:eastAsia="方正仿宋_GBK" w:hAnsi="Times New Roman" w:cs="Times New Roman"/>
          <w:sz w:val="32"/>
          <w:szCs w:val="32"/>
        </w:rPr>
      </w:pPr>
      <w:r>
        <w:rPr>
          <w:rStyle w:val="NormalCharacter"/>
          <w:rFonts w:ascii="Times New Roman" w:eastAsia="方正仿宋_GBK" w:hAnsi="Times New Roman" w:cs="Times New Roman"/>
          <w:sz w:val="32"/>
          <w:szCs w:val="32"/>
        </w:rPr>
        <w:t>8.</w:t>
      </w:r>
      <w:r>
        <w:rPr>
          <w:rFonts w:ascii="Times New Roman" w:eastAsia="方正仿宋_GBK" w:hAnsi="Times New Roman" w:cs="Times New Roman"/>
          <w:sz w:val="32"/>
          <w:szCs w:val="32"/>
        </w:rPr>
        <w:t>加强企业科协组织建设的做法与企业科协赋能研究；</w:t>
      </w:r>
    </w:p>
    <w:p w:rsidR="00066EA6" w:rsidRDefault="00066EA6" w:rsidP="00066EA6">
      <w:pPr>
        <w:spacing w:line="58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加强市级学会服务企业，推进科技经济融合的途径与做法研究；</w:t>
      </w:r>
    </w:p>
    <w:p w:rsidR="00066EA6" w:rsidRDefault="00066EA6" w:rsidP="00066EA6">
      <w:pPr>
        <w:spacing w:line="58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苏州科技社团近五年发展报告；</w:t>
      </w:r>
    </w:p>
    <w:p w:rsidR="00066EA6" w:rsidRDefault="00066EA6" w:rsidP="00066EA6">
      <w:pPr>
        <w:spacing w:line="580" w:lineRule="exact"/>
        <w:ind w:firstLine="630"/>
        <w:rPr>
          <w:rFonts w:ascii="Times New Roman" w:eastAsia="方正仿宋_GBK" w:hAnsi="Times New Roman" w:cs="Times New Roman"/>
          <w:sz w:val="32"/>
          <w:szCs w:val="32"/>
        </w:rPr>
      </w:pPr>
      <w:r>
        <w:rPr>
          <w:rFonts w:ascii="Times New Roman" w:eastAsia="方正仿宋_GBK" w:hAnsi="Times New Roman" w:cs="Times New Roman"/>
          <w:sz w:val="32"/>
          <w:szCs w:val="32"/>
        </w:rPr>
        <w:t>11</w:t>
      </w:r>
      <w:r>
        <w:rPr>
          <w:rStyle w:val="NormalCharacter"/>
          <w:rFonts w:ascii="Times New Roman" w:eastAsia="方正仿宋_GBK" w:hAnsi="Times New Roman" w:cs="Times New Roman"/>
          <w:sz w:val="32"/>
          <w:szCs w:val="32"/>
        </w:rPr>
        <w:t>.</w:t>
      </w:r>
      <w:r>
        <w:rPr>
          <w:rFonts w:ascii="Times New Roman" w:eastAsia="方正仿宋_GBK" w:hAnsi="Times New Roman" w:cs="Times New Roman"/>
          <w:sz w:val="32"/>
          <w:szCs w:val="32"/>
        </w:rPr>
        <w:t>撰写学会年度报告、行业（专业）发展报告及围绕各自工作实际开展的课题研究；</w:t>
      </w:r>
    </w:p>
    <w:p w:rsidR="00066EA6" w:rsidRDefault="00066EA6" w:rsidP="00066EA6">
      <w:pPr>
        <w:spacing w:line="580" w:lineRule="exact"/>
        <w:ind w:firstLine="630"/>
        <w:rPr>
          <w:rFonts w:eastAsia="方正仿宋_GBK"/>
          <w:sz w:val="32"/>
          <w:szCs w:val="32"/>
        </w:rPr>
      </w:pP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其他科技社团、高校科协、企业科协、团体会员等科协组织创新发展相关问题研究。</w:t>
      </w:r>
    </w:p>
    <w:p w:rsidR="00066EA6" w:rsidRDefault="00066EA6" w:rsidP="00066EA6">
      <w:pPr>
        <w:rPr>
          <w:rFonts w:eastAsia="方正仿宋_GBK"/>
          <w:sz w:val="32"/>
          <w:szCs w:val="32"/>
        </w:rPr>
      </w:pPr>
    </w:p>
    <w:p w:rsidR="00066EA6" w:rsidRDefault="00066EA6" w:rsidP="00066EA6">
      <w:pPr>
        <w:rPr>
          <w:rFonts w:eastAsia="方正仿宋_GBK"/>
          <w:sz w:val="32"/>
          <w:szCs w:val="32"/>
        </w:rPr>
      </w:pPr>
    </w:p>
    <w:p w:rsidR="00066EA6" w:rsidRDefault="00066EA6" w:rsidP="00066EA6">
      <w:pPr>
        <w:rPr>
          <w:rFonts w:eastAsia="方正仿宋_GBK"/>
          <w:sz w:val="32"/>
          <w:szCs w:val="32"/>
        </w:rPr>
      </w:pPr>
    </w:p>
    <w:p w:rsidR="00066EA6" w:rsidRDefault="00066EA6" w:rsidP="00066EA6">
      <w:pPr>
        <w:rPr>
          <w:rFonts w:eastAsia="方正仿宋_GBK"/>
          <w:sz w:val="32"/>
          <w:szCs w:val="32"/>
        </w:rPr>
      </w:pPr>
    </w:p>
    <w:p w:rsidR="00066EA6" w:rsidRDefault="00066EA6" w:rsidP="00066EA6">
      <w:pPr>
        <w:rPr>
          <w:rFonts w:eastAsia="方正仿宋_GBK"/>
          <w:sz w:val="32"/>
          <w:szCs w:val="32"/>
        </w:rPr>
      </w:pPr>
    </w:p>
    <w:p w:rsidR="00066EA6" w:rsidRDefault="00066EA6" w:rsidP="00066EA6">
      <w:pPr>
        <w:rPr>
          <w:rFonts w:eastAsia="方正仿宋_GBK"/>
          <w:sz w:val="32"/>
          <w:szCs w:val="32"/>
        </w:rPr>
        <w:sectPr w:rsidR="00066EA6">
          <w:headerReference w:type="even" r:id="rId4"/>
          <w:headerReference w:type="default" r:id="rId5"/>
          <w:footerReference w:type="even" r:id="rId6"/>
          <w:footerReference w:type="default" r:id="rId7"/>
          <w:headerReference w:type="first" r:id="rId8"/>
          <w:footerReference w:type="first" r:id="rId9"/>
          <w:pgSz w:w="11849" w:h="16781"/>
          <w:pgMar w:top="1440" w:right="1531" w:bottom="1440" w:left="1531" w:header="851" w:footer="992" w:gutter="0"/>
          <w:cols w:space="720"/>
          <w:docGrid w:type="lines" w:linePitch="312"/>
        </w:sectPr>
      </w:pPr>
    </w:p>
    <w:p w:rsidR="0036144A" w:rsidRPr="00066EA6" w:rsidRDefault="0036144A"/>
    <w:sectPr w:rsidR="0036144A" w:rsidRPr="00066E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6E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6EA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959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066EA6">
                          <w:pPr>
                            <w:snapToGrid w:val="0"/>
                            <w:rPr>
                              <w:rFonts w:hint="eastAsia"/>
                              <w:sz w:val="18"/>
                            </w:rPr>
                          </w:pPr>
                          <w:r>
                            <w:rPr>
                              <w:rFonts w:hint="eastAsia"/>
                              <w:sz w:val="1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r>
                            <w:rPr>
                              <w:rFonts w:hint="eastAsia"/>
                              <w:sz w:val="1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2.15pt;margin-top:0;width:39.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GM8AIAAGg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" filled="f" stroked="f">
              <v:textbox style="mso-fit-shape-to-text:t" inset="0,0,0,0">
                <w:txbxContent>
                  <w:p w:rsidR="00000000" w:rsidRDefault="00066EA6">
                    <w:pPr>
                      <w:snapToGrid w:val="0"/>
                      <w:rPr>
                        <w:rFonts w:hint="eastAsia"/>
                        <w:sz w:val="18"/>
                      </w:rPr>
                    </w:pPr>
                    <w:r>
                      <w:rPr>
                        <w:rFonts w:hint="eastAsia"/>
                        <w:sz w:val="1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r>
                      <w:rPr>
                        <w:rFonts w:hint="eastAsia"/>
                        <w:sz w:val="1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6EA6">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6E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6EA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6E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69"/>
    <w:rsid w:val="00066EA6"/>
    <w:rsid w:val="0036144A"/>
    <w:rsid w:val="00D9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224B59-31B3-42FB-B4E2-44818F5C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066EA6"/>
    <w:pPr>
      <w:widowControl w:val="0"/>
      <w:jc w:val="both"/>
    </w:pPr>
    <w:rPr>
      <w:rFonts w:ascii="Calibri" w:eastAsia="宋体" w:hAnsi="Calibri" w:cs="黑体"/>
    </w:rPr>
  </w:style>
  <w:style w:type="paragraph" w:styleId="3">
    <w:name w:val="heading 3"/>
    <w:basedOn w:val="a"/>
    <w:next w:val="a"/>
    <w:link w:val="3Char"/>
    <w:uiPriority w:val="9"/>
    <w:semiHidden/>
    <w:unhideWhenUsed/>
    <w:qFormat/>
    <w:rsid w:val="00066EA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qFormat/>
    <w:rsid w:val="00066EA6"/>
    <w:pPr>
      <w:tabs>
        <w:tab w:val="center" w:pos="4153"/>
        <w:tab w:val="right" w:pos="8306"/>
      </w:tabs>
      <w:snapToGrid w:val="0"/>
      <w:jc w:val="left"/>
    </w:pPr>
    <w:rPr>
      <w:sz w:val="18"/>
      <w:szCs w:val="18"/>
    </w:rPr>
  </w:style>
  <w:style w:type="character" w:customStyle="1" w:styleId="Char">
    <w:name w:val="页脚 Char"/>
    <w:basedOn w:val="a0"/>
    <w:uiPriority w:val="99"/>
    <w:semiHidden/>
    <w:rsid w:val="00066EA6"/>
    <w:rPr>
      <w:rFonts w:ascii="Calibri" w:eastAsia="宋体" w:hAnsi="Calibri" w:cs="黑体"/>
      <w:sz w:val="18"/>
      <w:szCs w:val="18"/>
    </w:rPr>
  </w:style>
  <w:style w:type="character" w:customStyle="1" w:styleId="Char1">
    <w:name w:val="页脚 Char1"/>
    <w:basedOn w:val="a0"/>
    <w:link w:val="a3"/>
    <w:uiPriority w:val="99"/>
    <w:qFormat/>
    <w:rsid w:val="00066EA6"/>
    <w:rPr>
      <w:rFonts w:ascii="Calibri" w:eastAsia="宋体" w:hAnsi="Calibri" w:cs="黑体"/>
      <w:sz w:val="18"/>
      <w:szCs w:val="18"/>
    </w:rPr>
  </w:style>
  <w:style w:type="paragraph" w:styleId="a4">
    <w:name w:val="header"/>
    <w:basedOn w:val="a"/>
    <w:link w:val="Char0"/>
    <w:uiPriority w:val="99"/>
    <w:unhideWhenUsed/>
    <w:qFormat/>
    <w:rsid w:val="00066E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066EA6"/>
    <w:rPr>
      <w:rFonts w:ascii="Calibri" w:eastAsia="宋体" w:hAnsi="Calibri" w:cs="黑体"/>
      <w:sz w:val="18"/>
      <w:szCs w:val="18"/>
    </w:rPr>
  </w:style>
  <w:style w:type="character" w:customStyle="1" w:styleId="NormalCharacter">
    <w:name w:val="NormalCharacter"/>
    <w:qFormat/>
    <w:rsid w:val="00066EA6"/>
    <w:rPr>
      <w:rFonts w:ascii="Calibri" w:hAnsi="Calibri" w:cs="黑体"/>
      <w:kern w:val="2"/>
      <w:sz w:val="21"/>
      <w:szCs w:val="22"/>
      <w:lang w:val="en-US" w:eastAsia="zh-CN" w:bidi="ar-SA"/>
    </w:rPr>
  </w:style>
  <w:style w:type="character" w:customStyle="1" w:styleId="3Char">
    <w:name w:val="标题 3 Char"/>
    <w:basedOn w:val="a0"/>
    <w:link w:val="3"/>
    <w:uiPriority w:val="9"/>
    <w:semiHidden/>
    <w:rsid w:val="00066EA6"/>
    <w:rPr>
      <w:rFonts w:ascii="Calibri" w:eastAsia="宋体" w:hAnsi="Calibri" w:cs="黑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习琴琴</dc:creator>
  <cp:keywords/>
  <dc:description/>
  <cp:lastModifiedBy>习琴琴</cp:lastModifiedBy>
  <cp:revision>2</cp:revision>
  <dcterms:created xsi:type="dcterms:W3CDTF">2022-05-19T01:41:00Z</dcterms:created>
  <dcterms:modified xsi:type="dcterms:W3CDTF">2022-05-19T01:41:00Z</dcterms:modified>
</cp:coreProperties>
</file>